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136" w:rsidRDefault="001623AE">
      <w:pPr>
        <w:spacing w:line="1" w:lineRule="exact"/>
      </w:pPr>
      <w:r>
        <w:rPr>
          <w:noProof/>
        </w:rPr>
        <w:drawing>
          <wp:anchor distT="0" distB="0" distL="114300" distR="114300" simplePos="0" relativeHeight="125829378" behindDoc="0" locked="0" layoutInCell="1" allowOverlap="1">
            <wp:simplePos x="0" y="0"/>
            <wp:positionH relativeFrom="page">
              <wp:posOffset>3107055</wp:posOffset>
            </wp:positionH>
            <wp:positionV relativeFrom="paragraph">
              <wp:posOffset>12700</wp:posOffset>
            </wp:positionV>
            <wp:extent cx="1060450" cy="104838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60450" cy="1048385"/>
                    </a:xfrm>
                    <a:prstGeom prst="rect">
                      <a:avLst/>
                    </a:prstGeom>
                  </pic:spPr>
                </pic:pic>
              </a:graphicData>
            </a:graphic>
          </wp:anchor>
        </w:drawing>
      </w:r>
    </w:p>
    <w:p w:rsidR="00FC5136" w:rsidRDefault="001623AE">
      <w:pPr>
        <w:pStyle w:val="10"/>
        <w:keepNext/>
        <w:keepLines/>
        <w:shd w:val="clear" w:color="auto" w:fill="auto"/>
      </w:pPr>
      <w:bookmarkStart w:id="0" w:name="bookmark0"/>
      <w:bookmarkStart w:id="1" w:name="bookmark1"/>
      <w:r>
        <w:t>ОБЩИНА БЛАГОЕВГРАД</w:t>
      </w:r>
      <w:bookmarkEnd w:id="0"/>
      <w:bookmarkEnd w:id="1"/>
    </w:p>
    <w:p w:rsidR="00FC5136" w:rsidRDefault="001623AE">
      <w:pPr>
        <w:pStyle w:val="30"/>
        <w:shd w:val="clear" w:color="auto" w:fill="auto"/>
      </w:pPr>
      <w:r>
        <w:t>ИЛКО СТОЯНОВ</w:t>
      </w:r>
    </w:p>
    <w:p w:rsidR="00FC5136" w:rsidRDefault="001623AE">
      <w:pPr>
        <w:pStyle w:val="40"/>
        <w:shd w:val="clear" w:color="auto" w:fill="auto"/>
      </w:pPr>
      <w:r>
        <w:t>Кмет</w:t>
      </w:r>
    </w:p>
    <w:p w:rsidR="00FC5136" w:rsidRDefault="001623AE">
      <w:pPr>
        <w:pStyle w:val="a0"/>
        <w:shd w:val="clear" w:color="auto" w:fill="auto"/>
        <w:spacing w:after="120" w:line="240" w:lineRule="auto"/>
      </w:pPr>
      <w:r>
        <w:t>Община Благоевград</w:t>
      </w:r>
    </w:p>
    <w:p w:rsidR="00FC5136" w:rsidRDefault="001623AE">
      <w:pPr>
        <w:pStyle w:val="a0"/>
        <w:shd w:val="clear" w:color="auto" w:fill="auto"/>
        <w:spacing w:after="1300" w:line="240" w:lineRule="auto"/>
      </w:pPr>
      <w:r>
        <w:t>Дата: 14.12.2022г.</w:t>
      </w:r>
    </w:p>
    <w:p w:rsidR="00FC5136" w:rsidRDefault="001623AE">
      <w:pPr>
        <w:pStyle w:val="20"/>
        <w:shd w:val="clear" w:color="auto" w:fill="auto"/>
      </w:pPr>
      <w:r>
        <w:t>ПРОЦЕДУРА</w:t>
      </w:r>
    </w:p>
    <w:p w:rsidR="00FC5136" w:rsidRDefault="001623AE">
      <w:pPr>
        <w:pStyle w:val="20"/>
        <w:shd w:val="clear" w:color="auto" w:fill="auto"/>
      </w:pPr>
      <w:r>
        <w:t>ЗА РЕАКЦИЯ И УВЕДОМЯВАНЕ ПРИ НАРУШЕНИЕ НА СИГУРНОСТТА</w:t>
      </w:r>
    </w:p>
    <w:p w:rsidR="00FC5136" w:rsidRDefault="001623AE">
      <w:pPr>
        <w:pStyle w:val="20"/>
        <w:shd w:val="clear" w:color="auto" w:fill="auto"/>
        <w:sectPr w:rsidR="00FC5136">
          <w:footerReference w:type="even" r:id="rId8"/>
          <w:footerReference w:type="default" r:id="rId9"/>
          <w:pgSz w:w="11900" w:h="16840"/>
          <w:pgMar w:top="958" w:right="565" w:bottom="958" w:left="674" w:header="0" w:footer="3" w:gutter="0"/>
          <w:pgNumType w:start="1"/>
          <w:cols w:space="720"/>
          <w:noEndnote/>
          <w:docGrid w:linePitch="360"/>
        </w:sectPr>
      </w:pPr>
      <w:r>
        <w:t>НАЛИЧНИТЕ ДАННИ</w:t>
      </w:r>
    </w:p>
    <w:p w:rsidR="00FC5136" w:rsidRDefault="001623AE">
      <w:pPr>
        <w:pStyle w:val="a0"/>
        <w:shd w:val="clear" w:color="auto" w:fill="auto"/>
        <w:spacing w:before="600" w:line="257" w:lineRule="auto"/>
        <w:jc w:val="both"/>
      </w:pPr>
      <w:r>
        <w:lastRenderedPageBreak/>
        <w:t>Настоящата процедура адресира изискванията на Регламент (ЕС) 2016/679 за реакция на община Благоевград при възникване на нарушения на сигурността на личните данни и с оглед задълженията за уведомяване на Надзорния орган (Комисия за защита н</w:t>
      </w:r>
      <w:r>
        <w:t>а личните данни - КЗЛД) и/или субектите на лични данни. Процедурата се прилага главно в ситуаци</w:t>
      </w:r>
      <w:bookmarkStart w:id="2" w:name="_GoBack"/>
      <w:bookmarkEnd w:id="2"/>
      <w:r>
        <w:t>и, в които община Благоевград е в ролята на администратор на лични данни. В ролята й на обработващ лични данни, основните задължения се изразяват в това да инфор</w:t>
      </w:r>
      <w:r>
        <w:t>мира съответния администратор, от името на когото обработва данните, за съответното настъпило нарушение, така че той да е в състояние да изпълни задълженията си по отношение предприемане на необходимите действия за защита и намаляване на негативните послед</w:t>
      </w:r>
      <w:r>
        <w:t>ици, както и уведомяване за нарушение, според вида на нарушението и изискванията на разпоредбите на Регламент (ЕС) 2016/679.</w:t>
      </w:r>
    </w:p>
    <w:p w:rsidR="00FC5136" w:rsidRDefault="001623AE">
      <w:pPr>
        <w:pStyle w:val="a0"/>
        <w:shd w:val="clear" w:color="auto" w:fill="auto"/>
        <w:jc w:val="both"/>
      </w:pPr>
      <w:r>
        <w:t>Процедурата е изготвена с оглед разпоредбите на чл.28 и чл.33-34 на Регламент (ЕС) 2016/679 и се разглежда ведно със следните докум</w:t>
      </w:r>
      <w:r>
        <w:t>енти на община Благоевград:</w:t>
      </w:r>
    </w:p>
    <w:p w:rsidR="00FC5136" w:rsidRDefault="001623AE">
      <w:pPr>
        <w:pStyle w:val="a0"/>
        <w:numPr>
          <w:ilvl w:val="0"/>
          <w:numId w:val="1"/>
        </w:numPr>
        <w:shd w:val="clear" w:color="auto" w:fill="auto"/>
        <w:tabs>
          <w:tab w:val="left" w:pos="1229"/>
        </w:tabs>
        <w:spacing w:after="0" w:line="257" w:lineRule="auto"/>
        <w:ind w:firstLine="880"/>
        <w:jc w:val="both"/>
      </w:pPr>
      <w:r>
        <w:t>Политика за поверителност</w:t>
      </w:r>
    </w:p>
    <w:p w:rsidR="00FC5136" w:rsidRDefault="001623AE">
      <w:pPr>
        <w:pStyle w:val="a0"/>
        <w:numPr>
          <w:ilvl w:val="0"/>
          <w:numId w:val="1"/>
        </w:numPr>
        <w:shd w:val="clear" w:color="auto" w:fill="auto"/>
        <w:tabs>
          <w:tab w:val="left" w:pos="1229"/>
        </w:tabs>
        <w:spacing w:after="0" w:line="257" w:lineRule="auto"/>
        <w:ind w:firstLine="880"/>
        <w:jc w:val="both"/>
      </w:pPr>
      <w:r>
        <w:t>Вътрешни правила за защита на личните данни</w:t>
      </w:r>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Политика за обща </w:t>
      </w:r>
      <w:r>
        <w:t>информационна сигурност</w:t>
      </w:r>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Политика за мрежова </w:t>
      </w:r>
      <w:r>
        <w:t>информационна сигурност</w:t>
      </w:r>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Политика за управление </w:t>
      </w:r>
      <w:r>
        <w:t xml:space="preserve">на достъп и </w:t>
      </w:r>
      <w:proofErr w:type="spellStart"/>
      <w:r>
        <w:t>автентикация</w:t>
      </w:r>
      <w:proofErr w:type="spellEnd"/>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Политика </w:t>
      </w:r>
      <w:proofErr w:type="spellStart"/>
      <w:r>
        <w:rPr>
          <w:color w:val="39383C"/>
        </w:rPr>
        <w:t>криптографски</w:t>
      </w:r>
      <w:proofErr w:type="spellEnd"/>
      <w:r>
        <w:rPr>
          <w:color w:val="39383C"/>
        </w:rPr>
        <w:t xml:space="preserve"> </w:t>
      </w:r>
      <w:r>
        <w:t>ме</w:t>
      </w:r>
      <w:r>
        <w:t>ханизми</w:t>
      </w:r>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Политика за взаимоотношения </w:t>
      </w:r>
      <w:r>
        <w:t>с трети страни</w:t>
      </w:r>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Политика за допустимо </w:t>
      </w:r>
      <w:r>
        <w:t>използване на активи</w:t>
      </w:r>
    </w:p>
    <w:p w:rsidR="00FC5136" w:rsidRDefault="001623AE">
      <w:pPr>
        <w:pStyle w:val="a0"/>
        <w:numPr>
          <w:ilvl w:val="0"/>
          <w:numId w:val="1"/>
        </w:numPr>
        <w:shd w:val="clear" w:color="auto" w:fill="auto"/>
        <w:tabs>
          <w:tab w:val="left" w:pos="1229"/>
        </w:tabs>
        <w:spacing w:after="0" w:line="257" w:lineRule="auto"/>
        <w:ind w:firstLine="880"/>
      </w:pPr>
      <w:r>
        <w:rPr>
          <w:color w:val="39383C"/>
        </w:rPr>
        <w:t xml:space="preserve">Вътрешни правила за </w:t>
      </w:r>
      <w:r>
        <w:t>Системата за електронен обмен на съобщения</w:t>
      </w:r>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Вътрешни правила за </w:t>
      </w:r>
      <w:r>
        <w:t xml:space="preserve">защита на софтуер и </w:t>
      </w:r>
      <w:proofErr w:type="spellStart"/>
      <w:r>
        <w:t>фърмуер</w:t>
      </w:r>
      <w:proofErr w:type="spellEnd"/>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Вътрешни правила за </w:t>
      </w:r>
      <w:r>
        <w:t>работа с електронни документи</w:t>
      </w:r>
    </w:p>
    <w:p w:rsidR="00FC5136" w:rsidRDefault="001623AE">
      <w:pPr>
        <w:pStyle w:val="a0"/>
        <w:numPr>
          <w:ilvl w:val="0"/>
          <w:numId w:val="1"/>
        </w:numPr>
        <w:shd w:val="clear" w:color="auto" w:fill="auto"/>
        <w:tabs>
          <w:tab w:val="left" w:pos="1229"/>
        </w:tabs>
        <w:spacing w:after="0" w:line="257" w:lineRule="auto"/>
        <w:ind w:firstLine="880"/>
        <w:jc w:val="both"/>
      </w:pPr>
      <w:r>
        <w:rPr>
          <w:color w:val="39383C"/>
        </w:rPr>
        <w:t xml:space="preserve">Вътрешни правила за </w:t>
      </w:r>
      <w:r>
        <w:t>актуализиране на РИР</w:t>
      </w:r>
    </w:p>
    <w:p w:rsidR="00FC5136" w:rsidRDefault="001623AE">
      <w:pPr>
        <w:pStyle w:val="a0"/>
        <w:numPr>
          <w:ilvl w:val="0"/>
          <w:numId w:val="1"/>
        </w:numPr>
        <w:shd w:val="clear" w:color="auto" w:fill="auto"/>
        <w:tabs>
          <w:tab w:val="left" w:pos="1229"/>
        </w:tabs>
        <w:spacing w:after="0" w:line="257" w:lineRule="auto"/>
        <w:ind w:firstLine="880"/>
        <w:jc w:val="both"/>
      </w:pPr>
      <w:r>
        <w:t>Вътрешни правила за класификация на информацията</w:t>
      </w:r>
    </w:p>
    <w:p w:rsidR="00FC5136" w:rsidRDefault="001623AE">
      <w:pPr>
        <w:pStyle w:val="a0"/>
        <w:numPr>
          <w:ilvl w:val="0"/>
          <w:numId w:val="1"/>
        </w:numPr>
        <w:shd w:val="clear" w:color="auto" w:fill="auto"/>
        <w:tabs>
          <w:tab w:val="left" w:pos="1229"/>
        </w:tabs>
        <w:spacing w:after="0" w:line="257" w:lineRule="auto"/>
        <w:ind w:firstLine="880"/>
        <w:jc w:val="both"/>
      </w:pPr>
      <w:r>
        <w:t>Вътрешни правила за сигурност при придобиване на ИКТ системи</w:t>
      </w:r>
    </w:p>
    <w:p w:rsidR="00FC5136" w:rsidRDefault="001623AE">
      <w:pPr>
        <w:pStyle w:val="a0"/>
        <w:numPr>
          <w:ilvl w:val="0"/>
          <w:numId w:val="1"/>
        </w:numPr>
        <w:shd w:val="clear" w:color="auto" w:fill="auto"/>
        <w:tabs>
          <w:tab w:val="left" w:pos="1229"/>
        </w:tabs>
        <w:spacing w:after="0" w:line="257" w:lineRule="auto"/>
        <w:ind w:firstLine="880"/>
      </w:pPr>
      <w:r>
        <w:t>Вътрешни правила за управление на ЧР по отношение сигурността на информацията</w:t>
      </w:r>
    </w:p>
    <w:p w:rsidR="00FC5136" w:rsidRDefault="001623AE">
      <w:pPr>
        <w:pStyle w:val="a0"/>
        <w:numPr>
          <w:ilvl w:val="0"/>
          <w:numId w:val="1"/>
        </w:numPr>
        <w:shd w:val="clear" w:color="auto" w:fill="auto"/>
        <w:tabs>
          <w:tab w:val="left" w:pos="1229"/>
        </w:tabs>
        <w:spacing w:after="0" w:line="257" w:lineRule="auto"/>
        <w:ind w:firstLine="880"/>
        <w:jc w:val="both"/>
      </w:pPr>
      <w:r>
        <w:t xml:space="preserve">Вътрешни правила за </w:t>
      </w:r>
      <w:r>
        <w:t>управление на инциденти</w:t>
      </w:r>
    </w:p>
    <w:p w:rsidR="00FC5136" w:rsidRDefault="001623AE">
      <w:pPr>
        <w:pStyle w:val="a0"/>
        <w:numPr>
          <w:ilvl w:val="0"/>
          <w:numId w:val="1"/>
        </w:numPr>
        <w:shd w:val="clear" w:color="auto" w:fill="auto"/>
        <w:tabs>
          <w:tab w:val="left" w:pos="1229"/>
        </w:tabs>
        <w:spacing w:after="260" w:line="257" w:lineRule="auto"/>
        <w:ind w:firstLine="880"/>
        <w:jc w:val="both"/>
      </w:pPr>
      <w:r>
        <w:t>Процедура за създаване на архиви</w:t>
      </w:r>
    </w:p>
    <w:p w:rsidR="00FC5136" w:rsidRDefault="001623AE">
      <w:pPr>
        <w:pStyle w:val="a0"/>
        <w:shd w:val="clear" w:color="auto" w:fill="auto"/>
        <w:spacing w:line="254" w:lineRule="auto"/>
      </w:pPr>
      <w:r>
        <w:t>Процедурата описва необходимите действия, които трябва да бъдат предприети от ръководството и служителите на община Благоевград, при установяване на нарушения на сигурността на личните данни.</w:t>
      </w:r>
    </w:p>
    <w:p w:rsidR="00FC5136" w:rsidRDefault="001623AE">
      <w:pPr>
        <w:pStyle w:val="a0"/>
        <w:shd w:val="clear" w:color="auto" w:fill="auto"/>
      </w:pPr>
      <w:r>
        <w:rPr>
          <w:i/>
          <w:iCs/>
        </w:rPr>
        <w:t>Нарушен</w:t>
      </w:r>
      <w:r>
        <w:rPr>
          <w:i/>
          <w:iCs/>
        </w:rPr>
        <w:t>ие на сигурността</w:t>
      </w:r>
      <w:r>
        <w:t xml:space="preserve"> на лични данни представлява събитие, което води до случайно или неправомерно унищожаване, загуба, промяна, неразрешено разкриване или достъп до лични данни, които се предават, съхраняват или обработват по друг начин от община Благоевград.</w:t>
      </w:r>
    </w:p>
    <w:p w:rsidR="00FC5136" w:rsidRDefault="001623AE">
      <w:pPr>
        <w:pStyle w:val="a0"/>
        <w:shd w:val="clear" w:color="auto" w:fill="auto"/>
        <w:spacing w:line="252" w:lineRule="auto"/>
      </w:pPr>
      <w:r>
        <w:rPr>
          <w:i/>
          <w:iCs/>
        </w:rPr>
        <w:t>Неправомерно унищожаване</w:t>
      </w:r>
      <w:r>
        <w:t xml:space="preserve"> на лични данни е действие, в резултат на което личните данни вече не съществуват или са във форма, която не позволява използването им.</w:t>
      </w:r>
    </w:p>
    <w:p w:rsidR="00FC5136" w:rsidRDefault="001623AE">
      <w:pPr>
        <w:pStyle w:val="a0"/>
        <w:shd w:val="clear" w:color="auto" w:fill="auto"/>
        <w:spacing w:line="252" w:lineRule="auto"/>
      </w:pPr>
      <w:r>
        <w:rPr>
          <w:i/>
          <w:iCs/>
        </w:rPr>
        <w:t>Неправомерна промяна</w:t>
      </w:r>
      <w:r>
        <w:t xml:space="preserve"> е действие, в резултат на което личните данни са изменени, увредени или не</w:t>
      </w:r>
      <w:r>
        <w:t>пълни.</w:t>
      </w:r>
      <w:r>
        <w:br w:type="page"/>
      </w:r>
    </w:p>
    <w:p w:rsidR="00FC5136" w:rsidRDefault="001623AE">
      <w:pPr>
        <w:pStyle w:val="a0"/>
        <w:shd w:val="clear" w:color="auto" w:fill="auto"/>
        <w:spacing w:line="269" w:lineRule="auto"/>
      </w:pPr>
      <w:r>
        <w:rPr>
          <w:i/>
          <w:iCs/>
        </w:rPr>
        <w:lastRenderedPageBreak/>
        <w:t>Загуба на лични данни</w:t>
      </w:r>
      <w:r>
        <w:t xml:space="preserve"> е действие, в резултат на което администраторът е загубил достъп или контрол върху данните.</w:t>
      </w:r>
    </w:p>
    <w:p w:rsidR="00FC5136" w:rsidRDefault="001623AE">
      <w:pPr>
        <w:pStyle w:val="a0"/>
        <w:shd w:val="clear" w:color="auto" w:fill="auto"/>
        <w:spacing w:line="264" w:lineRule="auto"/>
        <w:jc w:val="both"/>
      </w:pPr>
      <w:r>
        <w:rPr>
          <w:i/>
          <w:iCs/>
        </w:rPr>
        <w:t>Неправомерно разкриване или достъп</w:t>
      </w:r>
      <w:r>
        <w:t xml:space="preserve"> е действие, при което достъп до личните данни се осъществява от лица, които нямат право да ги обраб</w:t>
      </w:r>
      <w:r>
        <w:t>отват.</w:t>
      </w:r>
    </w:p>
    <w:p w:rsidR="00FC5136" w:rsidRDefault="001623AE">
      <w:pPr>
        <w:pStyle w:val="a0"/>
        <w:shd w:val="clear" w:color="auto" w:fill="auto"/>
        <w:jc w:val="both"/>
      </w:pPr>
      <w:r>
        <w:t>Процедурата се следва стриктно при възникване на инцидент, който е породил или се смята, че ще породи, загуба, промяна или разкриване на лични данни, за които община Благоевград е администратор. Съгласно разпоредбите на Регламент (ЕС) 2016/679 - инциденти,</w:t>
      </w:r>
      <w:r>
        <w:t xml:space="preserve"> засягащи лични данни, които е вероятно да породят риск за правата и свободите на субектите на данни, трябва да бъдат докладвани на Надзорния орган по защитата на лични данни (КЗЛД), без ненужно забавяне и когато това е осъществимо — не по-късно от 72 часа</w:t>
      </w:r>
      <w:r>
        <w:t xml:space="preserve"> след като администратора узнава за нарушението на сигурността на данните. Когато не е подадено в срок от 72 часа, </w:t>
      </w:r>
      <w:r>
        <w:rPr>
          <w:color w:val="39383C"/>
        </w:rPr>
        <w:t xml:space="preserve">уведомлението съдържа </w:t>
      </w:r>
      <w:r>
        <w:t xml:space="preserve">и причините </w:t>
      </w:r>
      <w:r>
        <w:rPr>
          <w:color w:val="39383C"/>
        </w:rPr>
        <w:t xml:space="preserve">за </w:t>
      </w:r>
      <w:r>
        <w:t xml:space="preserve">забавянето. Когато инцидентът има вероятност да породи висок риск </w:t>
      </w:r>
      <w:r>
        <w:rPr>
          <w:color w:val="39383C"/>
        </w:rPr>
        <w:t xml:space="preserve">за </w:t>
      </w:r>
      <w:r>
        <w:t xml:space="preserve">правата и свободите </w:t>
      </w:r>
      <w:r>
        <w:rPr>
          <w:color w:val="39383C"/>
        </w:rPr>
        <w:t xml:space="preserve">на </w:t>
      </w:r>
      <w:r>
        <w:t xml:space="preserve">физическите </w:t>
      </w:r>
      <w:r>
        <w:t>лица, чиито данни са засегнати от нарушението, община Благоевград уведомява и съответните субекти на данни, съгласно разпоредбите на чл. 34 на Регламент (ЕС) 2016/679.</w:t>
      </w:r>
    </w:p>
    <w:p w:rsidR="00FC5136" w:rsidRDefault="001623AE">
      <w:pPr>
        <w:pStyle w:val="a0"/>
        <w:shd w:val="clear" w:color="auto" w:fill="auto"/>
        <w:spacing w:after="440" w:line="252" w:lineRule="auto"/>
        <w:jc w:val="both"/>
      </w:pPr>
      <w:r>
        <w:t>В случаи, когато община Благоевград е в ролята на обработващ, при настъпване на съответн</w:t>
      </w:r>
      <w:r>
        <w:t>ото нарушение, без ненужно забавяне се уведомява съответния администратор, чийто лични данни се обработват.</w:t>
      </w:r>
    </w:p>
    <w:p w:rsidR="00FC5136" w:rsidRDefault="001623AE">
      <w:pPr>
        <w:pStyle w:val="24"/>
        <w:keepNext/>
        <w:keepLines/>
        <w:shd w:val="clear" w:color="auto" w:fill="auto"/>
      </w:pPr>
      <w:bookmarkStart w:id="3" w:name="bookmark2"/>
      <w:bookmarkStart w:id="4" w:name="bookmark3"/>
      <w:r>
        <w:t>НЕОБХОДИМИ ДЕЙСТВИЯ:</w:t>
      </w:r>
      <w:bookmarkEnd w:id="3"/>
      <w:bookmarkEnd w:id="4"/>
    </w:p>
    <w:p w:rsidR="00FC5136" w:rsidRDefault="001623AE">
      <w:pPr>
        <w:pStyle w:val="a0"/>
        <w:numPr>
          <w:ilvl w:val="0"/>
          <w:numId w:val="2"/>
        </w:numPr>
        <w:shd w:val="clear" w:color="auto" w:fill="auto"/>
        <w:tabs>
          <w:tab w:val="left" w:pos="1408"/>
        </w:tabs>
        <w:ind w:left="700" w:firstLine="40"/>
        <w:jc w:val="both"/>
      </w:pPr>
      <w:r>
        <w:t>При възникване на инцидент със сигурността на личните данни, със Заповед на Кмета на община Благоевград, се определя комисия за</w:t>
      </w:r>
      <w:r>
        <w:t xml:space="preserve"> действие (Комисията), съставлявана от членове с различна </w:t>
      </w:r>
      <w:r>
        <w:rPr>
          <w:color w:val="39383C"/>
        </w:rPr>
        <w:t xml:space="preserve">професионална </w:t>
      </w:r>
      <w:r>
        <w:t xml:space="preserve">квалификация. В </w:t>
      </w:r>
      <w:r>
        <w:rPr>
          <w:color w:val="39383C"/>
        </w:rPr>
        <w:t xml:space="preserve">комисията </w:t>
      </w:r>
      <w:r>
        <w:t xml:space="preserve">се включват Секретарят на община </w:t>
      </w:r>
      <w:r>
        <w:rPr>
          <w:color w:val="39383C"/>
        </w:rPr>
        <w:t xml:space="preserve">Благоевград, в ролята му на </w:t>
      </w:r>
      <w:r>
        <w:t xml:space="preserve">представител на ръководството и </w:t>
      </w:r>
      <w:r>
        <w:rPr>
          <w:color w:val="39383C"/>
        </w:rPr>
        <w:t xml:space="preserve">служител, </w:t>
      </w:r>
      <w:r>
        <w:t xml:space="preserve">отговарящ за мрежова и </w:t>
      </w:r>
      <w:r>
        <w:rPr>
          <w:color w:val="39383C"/>
        </w:rPr>
        <w:t xml:space="preserve">информационна сигурност, </w:t>
      </w:r>
      <w:r>
        <w:t>длъжнос</w:t>
      </w:r>
      <w:r>
        <w:t xml:space="preserve">тно лице </w:t>
      </w:r>
      <w:r>
        <w:rPr>
          <w:color w:val="39383C"/>
        </w:rPr>
        <w:t xml:space="preserve">по защита на </w:t>
      </w:r>
      <w:r>
        <w:t xml:space="preserve">данните, юрист, главен експерт „Информационно и административно </w:t>
      </w:r>
      <w:r>
        <w:rPr>
          <w:color w:val="39383C"/>
        </w:rPr>
        <w:t xml:space="preserve">обслужване“, </w:t>
      </w:r>
      <w:r>
        <w:t>както и директор/началник-отдел на съответните дирекции/отдели, чиито данни са засегнати от нарушението на сигурността. По преценка на ръководството и с огле</w:t>
      </w:r>
      <w:r>
        <w:t xml:space="preserve">д спецификата на конкретния инцидент, може да бъдат включени и други лица, ако те ще бъдат </w:t>
      </w:r>
      <w:proofErr w:type="spellStart"/>
      <w:r>
        <w:t>ог</w:t>
      </w:r>
      <w:proofErr w:type="spellEnd"/>
      <w:r>
        <w:t xml:space="preserve"> полза при разследването на инцидента и предприемане на съответните мерки за намаляване на негативните последици от него. Комисията се председателства от Секретаря</w:t>
      </w:r>
      <w:r>
        <w:t>.</w:t>
      </w:r>
    </w:p>
    <w:p w:rsidR="00FC5136" w:rsidRDefault="001623AE">
      <w:pPr>
        <w:pStyle w:val="a0"/>
        <w:numPr>
          <w:ilvl w:val="0"/>
          <w:numId w:val="2"/>
        </w:numPr>
        <w:shd w:val="clear" w:color="auto" w:fill="auto"/>
        <w:tabs>
          <w:tab w:val="left" w:pos="730"/>
        </w:tabs>
        <w:spacing w:line="257" w:lineRule="auto"/>
        <w:ind w:left="700" w:hanging="320"/>
      </w:pPr>
      <w:r>
        <w:rPr>
          <w:color w:val="39383C"/>
        </w:rPr>
        <w:t xml:space="preserve">Комисията предприема незабавно всички </w:t>
      </w:r>
      <w:r>
        <w:t xml:space="preserve">необходими действия </w:t>
      </w:r>
      <w:r>
        <w:rPr>
          <w:color w:val="39383C"/>
        </w:rPr>
        <w:t xml:space="preserve">по анализиране, документиране, анализ на риска за правата и свободите </w:t>
      </w:r>
      <w:r>
        <w:t>на субектите на лични данни, ограничаване на негативните последствия и съответното уведомяване, съгласно изискванията на чл. 3</w:t>
      </w:r>
      <w:r>
        <w:t xml:space="preserve">3-34 на </w:t>
      </w:r>
      <w:r>
        <w:rPr>
          <w:color w:val="39383C"/>
        </w:rPr>
        <w:t>Регламент (ЕС) 2016/679. както следва:</w:t>
      </w:r>
    </w:p>
    <w:p w:rsidR="00FC5136" w:rsidRDefault="001623AE">
      <w:pPr>
        <w:pStyle w:val="a0"/>
        <w:numPr>
          <w:ilvl w:val="1"/>
          <w:numId w:val="2"/>
        </w:numPr>
        <w:shd w:val="clear" w:color="auto" w:fill="auto"/>
        <w:tabs>
          <w:tab w:val="left" w:pos="1408"/>
        </w:tabs>
        <w:ind w:firstLine="700"/>
      </w:pPr>
      <w:r>
        <w:rPr>
          <w:u w:val="single"/>
        </w:rPr>
        <w:t>Анализ</w:t>
      </w:r>
      <w:r>
        <w:t>:</w:t>
      </w:r>
    </w:p>
    <w:p w:rsidR="00FC5136" w:rsidRDefault="001623AE">
      <w:pPr>
        <w:pStyle w:val="a0"/>
        <w:numPr>
          <w:ilvl w:val="2"/>
          <w:numId w:val="2"/>
        </w:numPr>
        <w:shd w:val="clear" w:color="auto" w:fill="auto"/>
        <w:tabs>
          <w:tab w:val="left" w:pos="2436"/>
        </w:tabs>
        <w:spacing w:line="240" w:lineRule="auto"/>
        <w:ind w:left="2440" w:hanging="700"/>
        <w:sectPr w:rsidR="00FC5136">
          <w:pgSz w:w="11900" w:h="16840"/>
          <w:pgMar w:top="3202" w:right="548" w:bottom="1788" w:left="657" w:header="0" w:footer="3" w:gutter="0"/>
          <w:cols w:space="720"/>
          <w:noEndnote/>
          <w:docGrid w:linePitch="360"/>
        </w:sectPr>
      </w:pPr>
      <w:r>
        <w:t>установява се действително настъпване на нарушение, което засяга лични данни</w:t>
      </w:r>
    </w:p>
    <w:p w:rsidR="00FC5136" w:rsidRDefault="001623AE">
      <w:pPr>
        <w:pStyle w:val="a0"/>
        <w:numPr>
          <w:ilvl w:val="2"/>
          <w:numId w:val="2"/>
        </w:numPr>
        <w:shd w:val="clear" w:color="auto" w:fill="auto"/>
        <w:tabs>
          <w:tab w:val="left" w:pos="2493"/>
        </w:tabs>
        <w:ind w:left="1760"/>
      </w:pPr>
      <w:r>
        <w:lastRenderedPageBreak/>
        <w:t>описва се вида на нарушението</w:t>
      </w:r>
    </w:p>
    <w:p w:rsidR="00FC5136" w:rsidRDefault="001623AE">
      <w:pPr>
        <w:pStyle w:val="a0"/>
        <w:numPr>
          <w:ilvl w:val="2"/>
          <w:numId w:val="2"/>
        </w:numPr>
        <w:shd w:val="clear" w:color="auto" w:fill="auto"/>
        <w:tabs>
          <w:tab w:val="left" w:pos="2493"/>
        </w:tabs>
        <w:spacing w:line="269" w:lineRule="auto"/>
        <w:ind w:left="2460" w:hanging="660"/>
      </w:pPr>
      <w:r>
        <w:t xml:space="preserve">описват се засегнатите лични данни - видове данни и масиви и техните </w:t>
      </w:r>
      <w:r>
        <w:t>количества</w:t>
      </w:r>
    </w:p>
    <w:p w:rsidR="00FC5136" w:rsidRDefault="001623AE">
      <w:pPr>
        <w:pStyle w:val="a0"/>
        <w:numPr>
          <w:ilvl w:val="2"/>
          <w:numId w:val="2"/>
        </w:numPr>
        <w:shd w:val="clear" w:color="auto" w:fill="auto"/>
        <w:tabs>
          <w:tab w:val="left" w:pos="2493"/>
        </w:tabs>
        <w:spacing w:line="264" w:lineRule="auto"/>
        <w:ind w:left="2460" w:hanging="660"/>
      </w:pPr>
      <w:r>
        <w:t>описва се приблизителния брой на засегнатите субекти на данни (физически лица) и техните категории</w:t>
      </w:r>
    </w:p>
    <w:p w:rsidR="00FC5136" w:rsidRDefault="001623AE">
      <w:pPr>
        <w:pStyle w:val="a0"/>
        <w:numPr>
          <w:ilvl w:val="2"/>
          <w:numId w:val="2"/>
        </w:numPr>
        <w:shd w:val="clear" w:color="auto" w:fill="auto"/>
        <w:tabs>
          <w:tab w:val="left" w:pos="2493"/>
        </w:tabs>
        <w:ind w:left="1760"/>
      </w:pPr>
      <w:r>
        <w:t>описват се засегнатите процеси по обработка на лични данни (или регистри)</w:t>
      </w:r>
    </w:p>
    <w:p w:rsidR="00FC5136" w:rsidRDefault="001623AE">
      <w:pPr>
        <w:pStyle w:val="a0"/>
        <w:numPr>
          <w:ilvl w:val="2"/>
          <w:numId w:val="2"/>
        </w:numPr>
        <w:shd w:val="clear" w:color="auto" w:fill="auto"/>
        <w:tabs>
          <w:tab w:val="left" w:pos="2493"/>
        </w:tabs>
        <w:ind w:left="2460" w:hanging="660"/>
      </w:pPr>
      <w:r>
        <w:t xml:space="preserve">описва се степента на защита на засегнатите лични данни - криптиране, </w:t>
      </w:r>
      <w:proofErr w:type="spellStart"/>
      <w:r>
        <w:t>пс</w:t>
      </w:r>
      <w:r>
        <w:t>евдонимизация</w:t>
      </w:r>
      <w:proofErr w:type="spellEnd"/>
    </w:p>
    <w:p w:rsidR="00FC5136" w:rsidRDefault="001623AE">
      <w:pPr>
        <w:pStyle w:val="a0"/>
        <w:numPr>
          <w:ilvl w:val="2"/>
          <w:numId w:val="2"/>
        </w:numPr>
        <w:shd w:val="clear" w:color="auto" w:fill="auto"/>
        <w:tabs>
          <w:tab w:val="left" w:pos="2493"/>
        </w:tabs>
        <w:spacing w:line="254" w:lineRule="auto"/>
        <w:ind w:left="2460" w:hanging="660"/>
      </w:pPr>
      <w:r>
        <w:t>определя се степента на риск за правата и свободите на засегнатите физически лица, породен от настъпване на нарушението</w:t>
      </w:r>
    </w:p>
    <w:p w:rsidR="00FC5136" w:rsidRDefault="001623AE">
      <w:pPr>
        <w:pStyle w:val="a0"/>
        <w:numPr>
          <w:ilvl w:val="2"/>
          <w:numId w:val="2"/>
        </w:numPr>
        <w:shd w:val="clear" w:color="auto" w:fill="auto"/>
        <w:tabs>
          <w:tab w:val="left" w:pos="2493"/>
        </w:tabs>
        <w:ind w:left="1760"/>
      </w:pPr>
      <w:r>
        <w:t>описват се евентуалните последици от нарушението на сигурността на данните</w:t>
      </w:r>
    </w:p>
    <w:p w:rsidR="00FC5136" w:rsidRDefault="001623AE">
      <w:pPr>
        <w:pStyle w:val="a0"/>
        <w:numPr>
          <w:ilvl w:val="2"/>
          <w:numId w:val="2"/>
        </w:numPr>
        <w:shd w:val="clear" w:color="auto" w:fill="auto"/>
        <w:tabs>
          <w:tab w:val="left" w:pos="2493"/>
        </w:tabs>
        <w:ind w:left="2460" w:hanging="660"/>
        <w:jc w:val="both"/>
      </w:pPr>
      <w:r>
        <w:t xml:space="preserve">извършва се пълно и безпристрастно разследване </w:t>
      </w:r>
      <w:r>
        <w:t>на обстоятелствата, довели до нарушението на сигурността</w:t>
      </w:r>
    </w:p>
    <w:p w:rsidR="00FC5136" w:rsidRDefault="001623AE">
      <w:pPr>
        <w:pStyle w:val="a0"/>
        <w:numPr>
          <w:ilvl w:val="2"/>
          <w:numId w:val="2"/>
        </w:numPr>
        <w:shd w:val="clear" w:color="auto" w:fill="auto"/>
        <w:tabs>
          <w:tab w:val="left" w:pos="2507"/>
        </w:tabs>
        <w:spacing w:line="257" w:lineRule="auto"/>
        <w:ind w:left="2460" w:hanging="660"/>
        <w:jc w:val="both"/>
      </w:pPr>
      <w:r>
        <w:t>определят се мерки, които трябва незабавно да бъдат предприети за ограничаване или предотвратяване на негативните последици, които могат да настъпят в резултат на нарушението</w:t>
      </w:r>
    </w:p>
    <w:p w:rsidR="00FC5136" w:rsidRDefault="001623AE">
      <w:pPr>
        <w:pStyle w:val="a0"/>
        <w:numPr>
          <w:ilvl w:val="0"/>
          <w:numId w:val="3"/>
        </w:numPr>
        <w:shd w:val="clear" w:color="auto" w:fill="auto"/>
        <w:tabs>
          <w:tab w:val="left" w:pos="461"/>
        </w:tabs>
        <w:jc w:val="center"/>
      </w:pPr>
      <w:r>
        <w:rPr>
          <w:u w:val="single"/>
        </w:rPr>
        <w:t>Определяне на риска</w:t>
      </w:r>
      <w:r>
        <w:t xml:space="preserve"> за правата и свободите на физическите лица - субекти на данни:</w:t>
      </w:r>
    </w:p>
    <w:p w:rsidR="00FC5136" w:rsidRDefault="001623AE">
      <w:pPr>
        <w:pStyle w:val="a0"/>
        <w:numPr>
          <w:ilvl w:val="0"/>
          <w:numId w:val="4"/>
        </w:numPr>
        <w:shd w:val="clear" w:color="auto" w:fill="auto"/>
        <w:tabs>
          <w:tab w:val="left" w:pos="2493"/>
        </w:tabs>
        <w:ind w:left="2460" w:hanging="660"/>
      </w:pPr>
      <w:r>
        <w:t xml:space="preserve">когато нарушението на сигурността </w:t>
      </w:r>
      <w:r>
        <w:rPr>
          <w:b/>
          <w:bCs/>
        </w:rPr>
        <w:t xml:space="preserve">не създава риск </w:t>
      </w:r>
      <w:r>
        <w:t>за правата и свободите на засегнатите субекти на лични данни, не се изисква уведомяване. Инцидентът се регистрира в Регистър на нарушения на с</w:t>
      </w:r>
      <w:r>
        <w:t>игурността на личните данни</w:t>
      </w:r>
    </w:p>
    <w:p w:rsidR="00FC5136" w:rsidRDefault="001623AE">
      <w:pPr>
        <w:pStyle w:val="a0"/>
        <w:numPr>
          <w:ilvl w:val="0"/>
          <w:numId w:val="4"/>
        </w:numPr>
        <w:shd w:val="clear" w:color="auto" w:fill="auto"/>
        <w:tabs>
          <w:tab w:val="left" w:pos="2493"/>
        </w:tabs>
        <w:spacing w:line="257" w:lineRule="auto"/>
        <w:ind w:left="2460" w:hanging="660"/>
      </w:pPr>
      <w:r>
        <w:t xml:space="preserve">когато нарушението на сигурността </w:t>
      </w:r>
      <w:r>
        <w:rPr>
          <w:b/>
          <w:bCs/>
        </w:rPr>
        <w:t xml:space="preserve">създава риск </w:t>
      </w:r>
      <w:r>
        <w:t>за правата и свободите на физическите лица, община Благоевград уведомява незабавно КЗЛД, до 72 часа от узнаване за инцидента</w:t>
      </w:r>
    </w:p>
    <w:p w:rsidR="00FC5136" w:rsidRDefault="001623AE">
      <w:pPr>
        <w:pStyle w:val="a0"/>
        <w:numPr>
          <w:ilvl w:val="0"/>
          <w:numId w:val="4"/>
        </w:numPr>
        <w:shd w:val="clear" w:color="auto" w:fill="auto"/>
        <w:tabs>
          <w:tab w:val="left" w:pos="2493"/>
        </w:tabs>
        <w:spacing w:line="257" w:lineRule="auto"/>
        <w:ind w:left="2460" w:hanging="660"/>
      </w:pPr>
      <w:r>
        <w:t xml:space="preserve">когато нарушението на сигурността </w:t>
      </w:r>
      <w:r>
        <w:rPr>
          <w:b/>
          <w:bCs/>
        </w:rPr>
        <w:t xml:space="preserve">създава висок риск </w:t>
      </w:r>
      <w:r>
        <w:t xml:space="preserve">за </w:t>
      </w:r>
      <w:r>
        <w:t>правата и свободите на физическите лица, община Благоевград уведомява така също и заинтересованите физически лица. Уведомление до субектите не се изисква, ако:</w:t>
      </w:r>
    </w:p>
    <w:p w:rsidR="00FC5136" w:rsidRDefault="001623AE">
      <w:pPr>
        <w:pStyle w:val="a0"/>
        <w:numPr>
          <w:ilvl w:val="0"/>
          <w:numId w:val="5"/>
        </w:numPr>
        <w:shd w:val="clear" w:color="auto" w:fill="auto"/>
        <w:tabs>
          <w:tab w:val="left" w:pos="3371"/>
        </w:tabs>
        <w:ind w:left="3320" w:hanging="680"/>
        <w:jc w:val="both"/>
      </w:pPr>
      <w:r>
        <w:t>община Благоевград е предприела подходящи мерки за защита на данните преди нарушението да настъп</w:t>
      </w:r>
      <w:r>
        <w:t xml:space="preserve">и и данните са неразбираеми за неоторизирани лица (криптиране, </w:t>
      </w:r>
      <w:proofErr w:type="spellStart"/>
      <w:r>
        <w:t>псевдонимизация</w:t>
      </w:r>
      <w:proofErr w:type="spellEnd"/>
      <w:r>
        <w:t>);</w:t>
      </w:r>
    </w:p>
    <w:p w:rsidR="00FC5136" w:rsidRDefault="001623AE">
      <w:pPr>
        <w:pStyle w:val="a0"/>
        <w:numPr>
          <w:ilvl w:val="0"/>
          <w:numId w:val="5"/>
        </w:numPr>
        <w:shd w:val="clear" w:color="auto" w:fill="auto"/>
        <w:tabs>
          <w:tab w:val="left" w:pos="3404"/>
        </w:tabs>
        <w:spacing w:line="254" w:lineRule="auto"/>
        <w:ind w:left="3320" w:hanging="680"/>
        <w:jc w:val="both"/>
      </w:pPr>
      <w:r>
        <w:t>община Благоевград е взела впоследствие мерки, които гарантират, че вече няма вероятност да се материализира високият риск за правата и свободите на субектите на данни;</w:t>
      </w:r>
    </w:p>
    <w:p w:rsidR="00FC5136" w:rsidRDefault="001623AE">
      <w:pPr>
        <w:pStyle w:val="a0"/>
        <w:numPr>
          <w:ilvl w:val="0"/>
          <w:numId w:val="5"/>
        </w:numPr>
        <w:shd w:val="clear" w:color="auto" w:fill="auto"/>
        <w:tabs>
          <w:tab w:val="left" w:pos="3404"/>
        </w:tabs>
        <w:spacing w:after="120"/>
        <w:ind w:left="3320" w:hanging="680"/>
        <w:jc w:val="both"/>
      </w:pPr>
      <w:r>
        <w:t>уведомлението до всеки субект на данни би довело до непропорционални усилия за община Благоевград (в такъв случай се използват методите за масово осведомяване - публични съобщения или</w:t>
      </w:r>
      <w:r>
        <w:br w:type="page"/>
      </w:r>
      <w:r>
        <w:lastRenderedPageBreak/>
        <w:t>друг способ за ефективно информиране на субектите на данни).</w:t>
      </w:r>
    </w:p>
    <w:p w:rsidR="00FC5136" w:rsidRDefault="001623AE">
      <w:pPr>
        <w:pStyle w:val="a0"/>
        <w:numPr>
          <w:ilvl w:val="0"/>
          <w:numId w:val="3"/>
        </w:numPr>
        <w:shd w:val="clear" w:color="auto" w:fill="auto"/>
        <w:tabs>
          <w:tab w:val="left" w:pos="1078"/>
        </w:tabs>
        <w:spacing w:after="120" w:line="262" w:lineRule="auto"/>
        <w:ind w:firstLine="640"/>
      </w:pPr>
      <w:r>
        <w:rPr>
          <w:u w:val="single"/>
        </w:rPr>
        <w:t>Заключения</w:t>
      </w:r>
      <w:r>
        <w:t>:</w:t>
      </w:r>
    </w:p>
    <w:p w:rsidR="00FC5136" w:rsidRDefault="001623AE">
      <w:pPr>
        <w:pStyle w:val="a0"/>
        <w:numPr>
          <w:ilvl w:val="0"/>
          <w:numId w:val="6"/>
        </w:numPr>
        <w:shd w:val="clear" w:color="auto" w:fill="auto"/>
        <w:tabs>
          <w:tab w:val="left" w:pos="2209"/>
        </w:tabs>
        <w:spacing w:after="0" w:line="262" w:lineRule="auto"/>
        <w:ind w:left="1500"/>
      </w:pPr>
      <w:r>
        <w:t xml:space="preserve">нарушението на сигурността на личните данни </w:t>
      </w:r>
      <w:r>
        <w:rPr>
          <w:b/>
          <w:bCs/>
        </w:rPr>
        <w:t>не изисква уведомление</w:t>
      </w:r>
    </w:p>
    <w:p w:rsidR="00FC5136" w:rsidRDefault="001623AE">
      <w:pPr>
        <w:pStyle w:val="a0"/>
        <w:numPr>
          <w:ilvl w:val="0"/>
          <w:numId w:val="6"/>
        </w:numPr>
        <w:shd w:val="clear" w:color="auto" w:fill="auto"/>
        <w:tabs>
          <w:tab w:val="left" w:pos="2209"/>
        </w:tabs>
        <w:spacing w:after="0" w:line="262" w:lineRule="auto"/>
        <w:ind w:left="2200" w:hanging="700"/>
      </w:pPr>
      <w:r>
        <w:t xml:space="preserve">нарушението на сигурността на личните данни </w:t>
      </w:r>
      <w:r>
        <w:rPr>
          <w:b/>
          <w:bCs/>
        </w:rPr>
        <w:t>изисква уведомление само до надзорния орган - КЗЛД</w:t>
      </w:r>
    </w:p>
    <w:p w:rsidR="00FC5136" w:rsidRDefault="001623AE">
      <w:pPr>
        <w:pStyle w:val="a0"/>
        <w:numPr>
          <w:ilvl w:val="0"/>
          <w:numId w:val="6"/>
        </w:numPr>
        <w:shd w:val="clear" w:color="auto" w:fill="auto"/>
        <w:tabs>
          <w:tab w:val="left" w:pos="2209"/>
        </w:tabs>
        <w:spacing w:after="380" w:line="262" w:lineRule="auto"/>
        <w:ind w:left="2200" w:hanging="700"/>
      </w:pPr>
      <w:r>
        <w:t xml:space="preserve">нарушението на сигурността на личните данни </w:t>
      </w:r>
      <w:r>
        <w:rPr>
          <w:b/>
          <w:bCs/>
        </w:rPr>
        <w:t>изисква уведомление и до надзорния орган, и до за</w:t>
      </w:r>
      <w:r>
        <w:rPr>
          <w:b/>
          <w:bCs/>
        </w:rPr>
        <w:t>сегнатите субекти на данни</w:t>
      </w:r>
    </w:p>
    <w:p w:rsidR="00FC5136" w:rsidRDefault="001623AE">
      <w:pPr>
        <w:pStyle w:val="a0"/>
        <w:shd w:val="clear" w:color="auto" w:fill="auto"/>
        <w:spacing w:after="500" w:line="257" w:lineRule="auto"/>
        <w:ind w:left="420" w:firstLine="20"/>
      </w:pPr>
      <w:r>
        <w:t>Тези заключения могат да бъдат обект на изменение, основано на обратна информация от надзорния орган, както и на допълнителна информация, открита като част от текущото разследване на нарушението.</w:t>
      </w:r>
    </w:p>
    <w:p w:rsidR="00FC5136" w:rsidRDefault="001623AE">
      <w:pPr>
        <w:pStyle w:val="a0"/>
        <w:numPr>
          <w:ilvl w:val="0"/>
          <w:numId w:val="2"/>
        </w:numPr>
        <w:shd w:val="clear" w:color="auto" w:fill="auto"/>
        <w:tabs>
          <w:tab w:val="left" w:pos="358"/>
        </w:tabs>
        <w:spacing w:after="500" w:line="262" w:lineRule="auto"/>
        <w:ind w:left="420" w:hanging="420"/>
      </w:pPr>
      <w:r>
        <w:t xml:space="preserve">Всички извършени от Комисията действия </w:t>
      </w:r>
      <w:r>
        <w:rPr>
          <w:color w:val="39383C"/>
        </w:rPr>
        <w:t xml:space="preserve">при разследването на </w:t>
      </w:r>
      <w:r>
        <w:t xml:space="preserve">инцидента </w:t>
      </w:r>
      <w:r>
        <w:rPr>
          <w:color w:val="39383C"/>
        </w:rPr>
        <w:t xml:space="preserve">се </w:t>
      </w:r>
      <w:r>
        <w:t xml:space="preserve">описват </w:t>
      </w:r>
      <w:r>
        <w:rPr>
          <w:color w:val="39383C"/>
        </w:rPr>
        <w:t xml:space="preserve">чрез </w:t>
      </w:r>
      <w:r>
        <w:t xml:space="preserve">съставяне на Протокол. Председателят на </w:t>
      </w:r>
      <w:r>
        <w:rPr>
          <w:color w:val="39383C"/>
        </w:rPr>
        <w:t xml:space="preserve">Комисията докладва на </w:t>
      </w:r>
      <w:r>
        <w:t xml:space="preserve">Кмета на община </w:t>
      </w:r>
      <w:r>
        <w:rPr>
          <w:color w:val="39383C"/>
        </w:rPr>
        <w:t xml:space="preserve">Благоевград </w:t>
      </w:r>
      <w:r>
        <w:t xml:space="preserve">за предприетите действия във връзка с настъпилото </w:t>
      </w:r>
      <w:r>
        <w:rPr>
          <w:color w:val="39383C"/>
        </w:rPr>
        <w:t xml:space="preserve">нарушение. </w:t>
      </w:r>
      <w:r>
        <w:t xml:space="preserve">Всички </w:t>
      </w:r>
      <w:r>
        <w:rPr>
          <w:color w:val="39383C"/>
        </w:rPr>
        <w:t xml:space="preserve">настъпили </w:t>
      </w:r>
      <w:r>
        <w:t xml:space="preserve">нарушения се регистрират от длъжностното лице по </w:t>
      </w:r>
      <w:r>
        <w:rPr>
          <w:color w:val="39383C"/>
        </w:rPr>
        <w:t xml:space="preserve">защита на данните в </w:t>
      </w:r>
      <w:r>
        <w:rPr>
          <w:i/>
          <w:iCs/>
          <w:color w:val="39383C"/>
        </w:rPr>
        <w:t xml:space="preserve">Регистър на нарушения на </w:t>
      </w:r>
      <w:r>
        <w:rPr>
          <w:i/>
          <w:iCs/>
        </w:rPr>
        <w:t>сигурността на личните данни,</w:t>
      </w:r>
      <w:r>
        <w:t xml:space="preserve"> ведно </w:t>
      </w:r>
      <w:r>
        <w:rPr>
          <w:color w:val="39383C"/>
        </w:rPr>
        <w:t xml:space="preserve">с фактите, свързани с </w:t>
      </w:r>
      <w:r>
        <w:t xml:space="preserve">конкретните нарушения, последиците от тях и предприетите действия </w:t>
      </w:r>
      <w:r>
        <w:rPr>
          <w:color w:val="39383C"/>
        </w:rPr>
        <w:t>от община Благоевград.</w:t>
      </w:r>
    </w:p>
    <w:p w:rsidR="00FC5136" w:rsidRDefault="001623AE">
      <w:pPr>
        <w:pStyle w:val="a0"/>
        <w:numPr>
          <w:ilvl w:val="0"/>
          <w:numId w:val="2"/>
        </w:numPr>
        <w:shd w:val="clear" w:color="auto" w:fill="auto"/>
        <w:tabs>
          <w:tab w:val="left" w:pos="358"/>
        </w:tabs>
        <w:spacing w:after="0" w:line="389" w:lineRule="auto"/>
        <w:ind w:left="420" w:hanging="420"/>
      </w:pPr>
      <w:r>
        <w:t>Когато е прилож</w:t>
      </w:r>
      <w:r>
        <w:t>имо, длъжностното лице по защита на данните уведомява надзорния орган в срок от 72 часа от узнаване за нарушението.</w:t>
      </w:r>
    </w:p>
    <w:p w:rsidR="00FC5136" w:rsidRDefault="001623AE">
      <w:pPr>
        <w:pStyle w:val="a0"/>
        <w:numPr>
          <w:ilvl w:val="1"/>
          <w:numId w:val="2"/>
        </w:numPr>
        <w:shd w:val="clear" w:color="auto" w:fill="auto"/>
        <w:tabs>
          <w:tab w:val="left" w:pos="1065"/>
        </w:tabs>
        <w:spacing w:after="120" w:line="389" w:lineRule="auto"/>
      </w:pPr>
      <w:r>
        <w:rPr>
          <w:u w:val="single"/>
        </w:rPr>
        <w:t>Надзорен орган</w:t>
      </w:r>
    </w:p>
    <w:p w:rsidR="00FC5136" w:rsidRDefault="001623AE">
      <w:pPr>
        <w:pStyle w:val="a0"/>
        <w:numPr>
          <w:ilvl w:val="1"/>
          <w:numId w:val="2"/>
        </w:numPr>
        <w:shd w:val="clear" w:color="auto" w:fill="auto"/>
        <w:tabs>
          <w:tab w:val="left" w:pos="1065"/>
        </w:tabs>
        <w:spacing w:before="120" w:after="0" w:line="382" w:lineRule="auto"/>
        <w:ind w:left="420" w:hanging="420"/>
      </w:pPr>
      <w:r>
        <w:rPr>
          <w:u w:val="single"/>
        </w:rPr>
        <w:t>Образец на уведомление</w:t>
      </w:r>
      <w:r>
        <w:t xml:space="preserve"> - </w:t>
      </w:r>
      <w:r>
        <w:rPr>
          <w:i/>
          <w:iCs/>
        </w:rPr>
        <w:t xml:space="preserve">Уведомление за нарушаване на сигурността на данните, </w:t>
      </w:r>
      <w:r>
        <w:t>налично на интернет страницата на КЗЛД</w:t>
      </w:r>
    </w:p>
    <w:p w:rsidR="00FC5136" w:rsidRDefault="001623AE">
      <w:pPr>
        <w:pStyle w:val="a0"/>
        <w:numPr>
          <w:ilvl w:val="1"/>
          <w:numId w:val="2"/>
        </w:numPr>
        <w:shd w:val="clear" w:color="auto" w:fill="auto"/>
        <w:tabs>
          <w:tab w:val="left" w:pos="1065"/>
        </w:tabs>
        <w:spacing w:after="0" w:line="382" w:lineRule="auto"/>
      </w:pPr>
      <w:r>
        <w:rPr>
          <w:u w:val="single"/>
        </w:rPr>
        <w:t>Информац</w:t>
      </w:r>
      <w:r>
        <w:rPr>
          <w:u w:val="single"/>
        </w:rPr>
        <w:t>ия</w:t>
      </w:r>
      <w:r>
        <w:t>, съдържаща се в уведомлението:</w:t>
      </w:r>
    </w:p>
    <w:p w:rsidR="00FC5136" w:rsidRDefault="001623AE">
      <w:pPr>
        <w:pStyle w:val="a0"/>
        <w:numPr>
          <w:ilvl w:val="0"/>
          <w:numId w:val="7"/>
        </w:numPr>
        <w:shd w:val="clear" w:color="auto" w:fill="auto"/>
        <w:tabs>
          <w:tab w:val="left" w:pos="1791"/>
        </w:tabs>
        <w:spacing w:after="0" w:line="382" w:lineRule="auto"/>
        <w:ind w:left="1100"/>
      </w:pPr>
      <w:r>
        <w:t>дата и час на настъпване на нарушението и/или узнаване за него</w:t>
      </w:r>
    </w:p>
    <w:p w:rsidR="00FC5136" w:rsidRDefault="001623AE">
      <w:pPr>
        <w:pStyle w:val="a0"/>
        <w:numPr>
          <w:ilvl w:val="0"/>
          <w:numId w:val="7"/>
        </w:numPr>
        <w:shd w:val="clear" w:color="auto" w:fill="auto"/>
        <w:tabs>
          <w:tab w:val="left" w:pos="1791"/>
        </w:tabs>
        <w:spacing w:after="120" w:line="382" w:lineRule="auto"/>
        <w:ind w:left="1780" w:hanging="680"/>
      </w:pPr>
      <w:r>
        <w:rPr>
          <w:noProof/>
        </w:rPr>
        <mc:AlternateContent>
          <mc:Choice Requires="wps">
            <w:drawing>
              <wp:anchor distT="38100" distB="165100" distL="114300" distR="114300" simplePos="0" relativeHeight="125829379" behindDoc="0" locked="0" layoutInCell="1" allowOverlap="1">
                <wp:simplePos x="0" y="0"/>
                <wp:positionH relativeFrom="page">
                  <wp:posOffset>723900</wp:posOffset>
                </wp:positionH>
                <wp:positionV relativeFrom="margin">
                  <wp:posOffset>4824730</wp:posOffset>
                </wp:positionV>
                <wp:extent cx="6385560" cy="7556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385560" cy="7556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731"/>
                              <w:gridCol w:w="7325"/>
                            </w:tblGrid>
                            <w:tr w:rsidR="00FC5136">
                              <w:tblPrEx>
                                <w:tblCellMar>
                                  <w:top w:w="0" w:type="dxa"/>
                                  <w:bottom w:w="0" w:type="dxa"/>
                                </w:tblCellMar>
                              </w:tblPrEx>
                              <w:trPr>
                                <w:trHeight w:hRule="exact" w:val="250"/>
                                <w:tblHeader/>
                              </w:trPr>
                              <w:tc>
                                <w:tcPr>
                                  <w:tcW w:w="2731" w:type="dxa"/>
                                  <w:tcBorders>
                                    <w:top w:val="single" w:sz="4" w:space="0" w:color="auto"/>
                                    <w:lef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Име:</w:t>
                                  </w:r>
                                </w:p>
                              </w:tc>
                              <w:tc>
                                <w:tcPr>
                                  <w:tcW w:w="7325" w:type="dxa"/>
                                  <w:tcBorders>
                                    <w:top w:val="single" w:sz="4" w:space="0" w:color="auto"/>
                                    <w:left w:val="single" w:sz="4" w:space="0" w:color="auto"/>
                                    <w:righ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Комисия за защита на личните данни</w:t>
                                  </w:r>
                                </w:p>
                              </w:tc>
                            </w:tr>
                            <w:tr w:rsidR="00FC5136">
                              <w:tblPrEx>
                                <w:tblCellMar>
                                  <w:top w:w="0" w:type="dxa"/>
                                  <w:bottom w:w="0" w:type="dxa"/>
                                </w:tblCellMar>
                              </w:tblPrEx>
                              <w:trPr>
                                <w:trHeight w:hRule="exact" w:val="240"/>
                              </w:trPr>
                              <w:tc>
                                <w:tcPr>
                                  <w:tcW w:w="2731" w:type="dxa"/>
                                  <w:tcBorders>
                                    <w:top w:val="single" w:sz="4" w:space="0" w:color="auto"/>
                                    <w:lef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Адрес:</w:t>
                                  </w:r>
                                </w:p>
                              </w:tc>
                              <w:tc>
                                <w:tcPr>
                                  <w:tcW w:w="7325" w:type="dxa"/>
                                  <w:tcBorders>
                                    <w:top w:val="single" w:sz="4" w:space="0" w:color="auto"/>
                                    <w:left w:val="single" w:sz="4" w:space="0" w:color="auto"/>
                                    <w:righ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София 1592, бул. „Проф. Цветан Лазаров" № 2</w:t>
                                  </w:r>
                                </w:p>
                              </w:tc>
                            </w:tr>
                            <w:tr w:rsidR="00FC5136">
                              <w:tblPrEx>
                                <w:tblCellMar>
                                  <w:top w:w="0" w:type="dxa"/>
                                  <w:bottom w:w="0" w:type="dxa"/>
                                </w:tblCellMar>
                              </w:tblPrEx>
                              <w:trPr>
                                <w:trHeight w:hRule="exact" w:val="230"/>
                              </w:trPr>
                              <w:tc>
                                <w:tcPr>
                                  <w:tcW w:w="2731" w:type="dxa"/>
                                  <w:tcBorders>
                                    <w:top w:val="single" w:sz="4" w:space="0" w:color="auto"/>
                                    <w:lef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Телефон:</w:t>
                                  </w:r>
                                </w:p>
                              </w:tc>
                              <w:tc>
                                <w:tcPr>
                                  <w:tcW w:w="7325" w:type="dxa"/>
                                  <w:tcBorders>
                                    <w:top w:val="single" w:sz="4" w:space="0" w:color="auto"/>
                                    <w:left w:val="single" w:sz="4" w:space="0" w:color="auto"/>
                                    <w:right w:val="single" w:sz="4" w:space="0" w:color="auto"/>
                                  </w:tcBorders>
                                  <w:shd w:val="clear" w:color="auto" w:fill="FFFFFF"/>
                                  <w:vAlign w:val="bottom"/>
                                </w:tcPr>
                                <w:p w:rsidR="00FC5136" w:rsidRDefault="001623AE">
                                  <w:pPr>
                                    <w:pStyle w:val="a2"/>
                                    <w:shd w:val="clear" w:color="auto" w:fill="auto"/>
                                    <w:spacing w:after="0" w:line="240" w:lineRule="auto"/>
                                    <w:jc w:val="both"/>
                                    <w:rPr>
                                      <w:sz w:val="16"/>
                                      <w:szCs w:val="16"/>
                                    </w:rPr>
                                  </w:pPr>
                                  <w:r>
                                    <w:rPr>
                                      <w:rFonts w:ascii="Verdana" w:eastAsia="Verdana" w:hAnsi="Verdana" w:cs="Verdana"/>
                                      <w:b/>
                                      <w:bCs/>
                                      <w:sz w:val="16"/>
                                      <w:szCs w:val="16"/>
                                    </w:rPr>
                                    <w:t>02/91-53-555</w:t>
                                  </w:r>
                                </w:p>
                              </w:tc>
                            </w:tr>
                            <w:tr w:rsidR="00FC5136">
                              <w:tblPrEx>
                                <w:tblCellMar>
                                  <w:top w:w="0" w:type="dxa"/>
                                  <w:bottom w:w="0" w:type="dxa"/>
                                </w:tblCellMar>
                              </w:tblPrEx>
                              <w:trPr>
                                <w:trHeight w:hRule="exact" w:val="240"/>
                              </w:trPr>
                              <w:tc>
                                <w:tcPr>
                                  <w:tcW w:w="2731" w:type="dxa"/>
                                  <w:tcBorders>
                                    <w:top w:val="single" w:sz="4" w:space="0" w:color="auto"/>
                                    <w:left w:val="single" w:sz="4" w:space="0" w:color="auto"/>
                                  </w:tcBorders>
                                  <w:shd w:val="clear" w:color="auto" w:fill="FFFFFF"/>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Имейл:</w:t>
                                  </w:r>
                                </w:p>
                              </w:tc>
                              <w:tc>
                                <w:tcPr>
                                  <w:tcW w:w="7325" w:type="dxa"/>
                                  <w:tcBorders>
                                    <w:top w:val="single" w:sz="4" w:space="0" w:color="auto"/>
                                    <w:left w:val="single" w:sz="4" w:space="0" w:color="auto"/>
                                    <w:right w:val="single" w:sz="4" w:space="0" w:color="auto"/>
                                  </w:tcBorders>
                                  <w:shd w:val="clear" w:color="auto" w:fill="FFFFFF"/>
                                </w:tcPr>
                                <w:p w:rsidR="00FC5136" w:rsidRDefault="001623AE">
                                  <w:pPr>
                                    <w:pStyle w:val="a2"/>
                                    <w:shd w:val="clear" w:color="auto" w:fill="auto"/>
                                    <w:spacing w:after="0" w:line="240" w:lineRule="auto"/>
                                    <w:jc w:val="both"/>
                                    <w:rPr>
                                      <w:sz w:val="16"/>
                                      <w:szCs w:val="16"/>
                                    </w:rPr>
                                  </w:pPr>
                                  <w:hyperlink r:id="rId10" w:history="1">
                                    <w:r>
                                      <w:rPr>
                                        <w:rFonts w:ascii="Verdana" w:eastAsia="Verdana" w:hAnsi="Verdana" w:cs="Verdana"/>
                                        <w:b/>
                                        <w:bCs/>
                                        <w:sz w:val="16"/>
                                        <w:szCs w:val="16"/>
                                        <w:lang w:val="en-US" w:eastAsia="en-US" w:bidi="en-US"/>
                                      </w:rPr>
                                      <w:t>kzld@cpdo.ba</w:t>
                                    </w:r>
                                  </w:hyperlink>
                                </w:p>
                              </w:tc>
                            </w:tr>
                            <w:tr w:rsidR="00FC5136">
                              <w:tblPrEx>
                                <w:tblCellMar>
                                  <w:top w:w="0" w:type="dxa"/>
                                  <w:bottom w:w="0" w:type="dxa"/>
                                </w:tblCellMar>
                              </w:tblPrEx>
                              <w:trPr>
                                <w:trHeight w:hRule="exact" w:val="230"/>
                              </w:trPr>
                              <w:tc>
                                <w:tcPr>
                                  <w:tcW w:w="2731" w:type="dxa"/>
                                  <w:tcBorders>
                                    <w:top w:val="single" w:sz="4" w:space="0" w:color="auto"/>
                                    <w:left w:val="single" w:sz="4" w:space="0" w:color="auto"/>
                                    <w:bottom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Интернет страница:</w:t>
                                  </w:r>
                                </w:p>
                              </w:tc>
                              <w:tc>
                                <w:tcPr>
                                  <w:tcW w:w="7325" w:type="dxa"/>
                                  <w:tcBorders>
                                    <w:top w:val="single" w:sz="4" w:space="0" w:color="auto"/>
                                    <w:left w:val="single" w:sz="4" w:space="0" w:color="auto"/>
                                    <w:bottom w:val="single" w:sz="4" w:space="0" w:color="auto"/>
                                    <w:right w:val="single" w:sz="4" w:space="0" w:color="auto"/>
                                  </w:tcBorders>
                                  <w:shd w:val="clear" w:color="auto" w:fill="FFFFFF"/>
                                  <w:vAlign w:val="bottom"/>
                                </w:tcPr>
                                <w:p w:rsidR="00FC5136" w:rsidRDefault="001623AE">
                                  <w:pPr>
                                    <w:pStyle w:val="a2"/>
                                    <w:shd w:val="clear" w:color="auto" w:fill="auto"/>
                                    <w:tabs>
                                      <w:tab w:val="left" w:pos="7133"/>
                                    </w:tabs>
                                    <w:spacing w:after="0" w:line="240" w:lineRule="auto"/>
                                    <w:rPr>
                                      <w:sz w:val="16"/>
                                      <w:szCs w:val="16"/>
                                    </w:rPr>
                                  </w:pPr>
                                  <w:hyperlink r:id="rId11" w:history="1">
                                    <w:r>
                                      <w:rPr>
                                        <w:rFonts w:ascii="Verdana" w:eastAsia="Verdana" w:hAnsi="Verdana" w:cs="Verdana"/>
                                        <w:b/>
                                        <w:bCs/>
                                        <w:sz w:val="16"/>
                                        <w:szCs w:val="16"/>
                                        <w:lang w:val="en-US" w:eastAsia="en-US" w:bidi="en-US"/>
                                      </w:rPr>
                                      <w:t>www.cpdp.bg</w:t>
                                    </w:r>
                                  </w:hyperlink>
                                  <w:r>
                                    <w:rPr>
                                      <w:rFonts w:ascii="Verdana" w:eastAsia="Verdana" w:hAnsi="Verdana" w:cs="Verdana"/>
                                      <w:b/>
                                      <w:bCs/>
                                      <w:sz w:val="16"/>
                                      <w:szCs w:val="16"/>
                                      <w:lang w:val="en-US" w:eastAsia="en-US" w:bidi="en-US"/>
                                    </w:rPr>
                                    <w:tab/>
                                  </w:r>
                                  <w:r>
                                    <w:rPr>
                                      <w:rFonts w:ascii="Verdana" w:eastAsia="Verdana" w:hAnsi="Verdana" w:cs="Verdana"/>
                                      <w:b/>
                                      <w:bCs/>
                                      <w:sz w:val="16"/>
                                      <w:szCs w:val="16"/>
                                    </w:rPr>
                                    <w:t>.</w:t>
                                  </w:r>
                                </w:p>
                              </w:tc>
                            </w:tr>
                          </w:tbl>
                          <w:p w:rsidR="00FC5136" w:rsidRDefault="00FC5136">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57pt;margin-top:379.9pt;width:502.8pt;height:59.5pt;z-index:125829379;visibility:visible;mso-wrap-style:square;mso-wrap-distance-left:9pt;mso-wrap-distance-top:3pt;mso-wrap-distance-right:9pt;mso-wrap-distance-bottom:1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731"/>
                        <w:gridCol w:w="7325"/>
                      </w:tblGrid>
                      <w:tr w:rsidR="00FC5136">
                        <w:tblPrEx>
                          <w:tblCellMar>
                            <w:top w:w="0" w:type="dxa"/>
                            <w:bottom w:w="0" w:type="dxa"/>
                          </w:tblCellMar>
                        </w:tblPrEx>
                        <w:trPr>
                          <w:trHeight w:hRule="exact" w:val="250"/>
                          <w:tblHeader/>
                        </w:trPr>
                        <w:tc>
                          <w:tcPr>
                            <w:tcW w:w="2731" w:type="dxa"/>
                            <w:tcBorders>
                              <w:top w:val="single" w:sz="4" w:space="0" w:color="auto"/>
                              <w:lef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Име:</w:t>
                            </w:r>
                          </w:p>
                        </w:tc>
                        <w:tc>
                          <w:tcPr>
                            <w:tcW w:w="7325" w:type="dxa"/>
                            <w:tcBorders>
                              <w:top w:val="single" w:sz="4" w:space="0" w:color="auto"/>
                              <w:left w:val="single" w:sz="4" w:space="0" w:color="auto"/>
                              <w:righ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Комисия за защита на личните данни</w:t>
                            </w:r>
                          </w:p>
                        </w:tc>
                      </w:tr>
                      <w:tr w:rsidR="00FC5136">
                        <w:tblPrEx>
                          <w:tblCellMar>
                            <w:top w:w="0" w:type="dxa"/>
                            <w:bottom w:w="0" w:type="dxa"/>
                          </w:tblCellMar>
                        </w:tblPrEx>
                        <w:trPr>
                          <w:trHeight w:hRule="exact" w:val="240"/>
                        </w:trPr>
                        <w:tc>
                          <w:tcPr>
                            <w:tcW w:w="2731" w:type="dxa"/>
                            <w:tcBorders>
                              <w:top w:val="single" w:sz="4" w:space="0" w:color="auto"/>
                              <w:lef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Адрес:</w:t>
                            </w:r>
                          </w:p>
                        </w:tc>
                        <w:tc>
                          <w:tcPr>
                            <w:tcW w:w="7325" w:type="dxa"/>
                            <w:tcBorders>
                              <w:top w:val="single" w:sz="4" w:space="0" w:color="auto"/>
                              <w:left w:val="single" w:sz="4" w:space="0" w:color="auto"/>
                              <w:righ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София 1592, бул. „Проф. Цветан Лазаров" № 2</w:t>
                            </w:r>
                          </w:p>
                        </w:tc>
                      </w:tr>
                      <w:tr w:rsidR="00FC5136">
                        <w:tblPrEx>
                          <w:tblCellMar>
                            <w:top w:w="0" w:type="dxa"/>
                            <w:bottom w:w="0" w:type="dxa"/>
                          </w:tblCellMar>
                        </w:tblPrEx>
                        <w:trPr>
                          <w:trHeight w:hRule="exact" w:val="230"/>
                        </w:trPr>
                        <w:tc>
                          <w:tcPr>
                            <w:tcW w:w="2731" w:type="dxa"/>
                            <w:tcBorders>
                              <w:top w:val="single" w:sz="4" w:space="0" w:color="auto"/>
                              <w:left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Телефон:</w:t>
                            </w:r>
                          </w:p>
                        </w:tc>
                        <w:tc>
                          <w:tcPr>
                            <w:tcW w:w="7325" w:type="dxa"/>
                            <w:tcBorders>
                              <w:top w:val="single" w:sz="4" w:space="0" w:color="auto"/>
                              <w:left w:val="single" w:sz="4" w:space="0" w:color="auto"/>
                              <w:right w:val="single" w:sz="4" w:space="0" w:color="auto"/>
                            </w:tcBorders>
                            <w:shd w:val="clear" w:color="auto" w:fill="FFFFFF"/>
                            <w:vAlign w:val="bottom"/>
                          </w:tcPr>
                          <w:p w:rsidR="00FC5136" w:rsidRDefault="001623AE">
                            <w:pPr>
                              <w:pStyle w:val="a2"/>
                              <w:shd w:val="clear" w:color="auto" w:fill="auto"/>
                              <w:spacing w:after="0" w:line="240" w:lineRule="auto"/>
                              <w:jc w:val="both"/>
                              <w:rPr>
                                <w:sz w:val="16"/>
                                <w:szCs w:val="16"/>
                              </w:rPr>
                            </w:pPr>
                            <w:r>
                              <w:rPr>
                                <w:rFonts w:ascii="Verdana" w:eastAsia="Verdana" w:hAnsi="Verdana" w:cs="Verdana"/>
                                <w:b/>
                                <w:bCs/>
                                <w:sz w:val="16"/>
                                <w:szCs w:val="16"/>
                              </w:rPr>
                              <w:t>02/91-53-555</w:t>
                            </w:r>
                          </w:p>
                        </w:tc>
                      </w:tr>
                      <w:tr w:rsidR="00FC5136">
                        <w:tblPrEx>
                          <w:tblCellMar>
                            <w:top w:w="0" w:type="dxa"/>
                            <w:bottom w:w="0" w:type="dxa"/>
                          </w:tblCellMar>
                        </w:tblPrEx>
                        <w:trPr>
                          <w:trHeight w:hRule="exact" w:val="240"/>
                        </w:trPr>
                        <w:tc>
                          <w:tcPr>
                            <w:tcW w:w="2731" w:type="dxa"/>
                            <w:tcBorders>
                              <w:top w:val="single" w:sz="4" w:space="0" w:color="auto"/>
                              <w:left w:val="single" w:sz="4" w:space="0" w:color="auto"/>
                            </w:tcBorders>
                            <w:shd w:val="clear" w:color="auto" w:fill="FFFFFF"/>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Имейл:</w:t>
                            </w:r>
                          </w:p>
                        </w:tc>
                        <w:tc>
                          <w:tcPr>
                            <w:tcW w:w="7325" w:type="dxa"/>
                            <w:tcBorders>
                              <w:top w:val="single" w:sz="4" w:space="0" w:color="auto"/>
                              <w:left w:val="single" w:sz="4" w:space="0" w:color="auto"/>
                              <w:right w:val="single" w:sz="4" w:space="0" w:color="auto"/>
                            </w:tcBorders>
                            <w:shd w:val="clear" w:color="auto" w:fill="FFFFFF"/>
                          </w:tcPr>
                          <w:p w:rsidR="00FC5136" w:rsidRDefault="001623AE">
                            <w:pPr>
                              <w:pStyle w:val="a2"/>
                              <w:shd w:val="clear" w:color="auto" w:fill="auto"/>
                              <w:spacing w:after="0" w:line="240" w:lineRule="auto"/>
                              <w:jc w:val="both"/>
                              <w:rPr>
                                <w:sz w:val="16"/>
                                <w:szCs w:val="16"/>
                              </w:rPr>
                            </w:pPr>
                            <w:hyperlink r:id="rId12" w:history="1">
                              <w:r>
                                <w:rPr>
                                  <w:rFonts w:ascii="Verdana" w:eastAsia="Verdana" w:hAnsi="Verdana" w:cs="Verdana"/>
                                  <w:b/>
                                  <w:bCs/>
                                  <w:sz w:val="16"/>
                                  <w:szCs w:val="16"/>
                                  <w:lang w:val="en-US" w:eastAsia="en-US" w:bidi="en-US"/>
                                </w:rPr>
                                <w:t>kzld@cpdo.ba</w:t>
                              </w:r>
                            </w:hyperlink>
                          </w:p>
                        </w:tc>
                      </w:tr>
                      <w:tr w:rsidR="00FC5136">
                        <w:tblPrEx>
                          <w:tblCellMar>
                            <w:top w:w="0" w:type="dxa"/>
                            <w:bottom w:w="0" w:type="dxa"/>
                          </w:tblCellMar>
                        </w:tblPrEx>
                        <w:trPr>
                          <w:trHeight w:hRule="exact" w:val="230"/>
                        </w:trPr>
                        <w:tc>
                          <w:tcPr>
                            <w:tcW w:w="2731" w:type="dxa"/>
                            <w:tcBorders>
                              <w:top w:val="single" w:sz="4" w:space="0" w:color="auto"/>
                              <w:left w:val="single" w:sz="4" w:space="0" w:color="auto"/>
                              <w:bottom w:val="single" w:sz="4" w:space="0" w:color="auto"/>
                            </w:tcBorders>
                            <w:shd w:val="clear" w:color="auto" w:fill="FFFFFF"/>
                            <w:vAlign w:val="bottom"/>
                          </w:tcPr>
                          <w:p w:rsidR="00FC5136" w:rsidRDefault="001623AE">
                            <w:pPr>
                              <w:pStyle w:val="a2"/>
                              <w:shd w:val="clear" w:color="auto" w:fill="auto"/>
                              <w:spacing w:after="0" w:line="240" w:lineRule="auto"/>
                              <w:rPr>
                                <w:sz w:val="16"/>
                                <w:szCs w:val="16"/>
                              </w:rPr>
                            </w:pPr>
                            <w:r>
                              <w:rPr>
                                <w:rFonts w:ascii="Verdana" w:eastAsia="Verdana" w:hAnsi="Verdana" w:cs="Verdana"/>
                                <w:b/>
                                <w:bCs/>
                                <w:sz w:val="16"/>
                                <w:szCs w:val="16"/>
                              </w:rPr>
                              <w:t>Интернет страница:</w:t>
                            </w:r>
                          </w:p>
                        </w:tc>
                        <w:tc>
                          <w:tcPr>
                            <w:tcW w:w="7325" w:type="dxa"/>
                            <w:tcBorders>
                              <w:top w:val="single" w:sz="4" w:space="0" w:color="auto"/>
                              <w:left w:val="single" w:sz="4" w:space="0" w:color="auto"/>
                              <w:bottom w:val="single" w:sz="4" w:space="0" w:color="auto"/>
                              <w:right w:val="single" w:sz="4" w:space="0" w:color="auto"/>
                            </w:tcBorders>
                            <w:shd w:val="clear" w:color="auto" w:fill="FFFFFF"/>
                            <w:vAlign w:val="bottom"/>
                          </w:tcPr>
                          <w:p w:rsidR="00FC5136" w:rsidRDefault="001623AE">
                            <w:pPr>
                              <w:pStyle w:val="a2"/>
                              <w:shd w:val="clear" w:color="auto" w:fill="auto"/>
                              <w:tabs>
                                <w:tab w:val="left" w:pos="7133"/>
                              </w:tabs>
                              <w:spacing w:after="0" w:line="240" w:lineRule="auto"/>
                              <w:rPr>
                                <w:sz w:val="16"/>
                                <w:szCs w:val="16"/>
                              </w:rPr>
                            </w:pPr>
                            <w:hyperlink r:id="rId13" w:history="1">
                              <w:r>
                                <w:rPr>
                                  <w:rFonts w:ascii="Verdana" w:eastAsia="Verdana" w:hAnsi="Verdana" w:cs="Verdana"/>
                                  <w:b/>
                                  <w:bCs/>
                                  <w:sz w:val="16"/>
                                  <w:szCs w:val="16"/>
                                  <w:lang w:val="en-US" w:eastAsia="en-US" w:bidi="en-US"/>
                                </w:rPr>
                                <w:t>www.cpdp.bg</w:t>
                              </w:r>
                            </w:hyperlink>
                            <w:r>
                              <w:rPr>
                                <w:rFonts w:ascii="Verdana" w:eastAsia="Verdana" w:hAnsi="Verdana" w:cs="Verdana"/>
                                <w:b/>
                                <w:bCs/>
                                <w:sz w:val="16"/>
                                <w:szCs w:val="16"/>
                                <w:lang w:val="en-US" w:eastAsia="en-US" w:bidi="en-US"/>
                              </w:rPr>
                              <w:tab/>
                            </w:r>
                            <w:r>
                              <w:rPr>
                                <w:rFonts w:ascii="Verdana" w:eastAsia="Verdana" w:hAnsi="Verdana" w:cs="Verdana"/>
                                <w:b/>
                                <w:bCs/>
                                <w:sz w:val="16"/>
                                <w:szCs w:val="16"/>
                              </w:rPr>
                              <w:t>.</w:t>
                            </w:r>
                          </w:p>
                        </w:tc>
                      </w:tr>
                    </w:tbl>
                    <w:p w:rsidR="00FC5136" w:rsidRDefault="00FC5136">
                      <w:pPr>
                        <w:spacing w:line="1" w:lineRule="exact"/>
                      </w:pPr>
                    </w:p>
                  </w:txbxContent>
                </v:textbox>
                <w10:wrap type="topAndBottom" anchorx="page" anchory="margin"/>
              </v:shape>
            </w:pict>
          </mc:Fallback>
        </mc:AlternateContent>
      </w:r>
      <w:r>
        <w:t xml:space="preserve">дата и час на уведомяване на община Благоевград от включен обработващ на личните данни </w:t>
      </w:r>
      <w:r>
        <w:rPr>
          <w:i/>
          <w:iCs/>
        </w:rPr>
        <w:t>(ако е приложимо)</w:t>
      </w:r>
      <w:r>
        <w:br w:type="page"/>
      </w:r>
    </w:p>
    <w:p w:rsidR="00FC5136" w:rsidRDefault="001623AE">
      <w:pPr>
        <w:pStyle w:val="a0"/>
        <w:numPr>
          <w:ilvl w:val="0"/>
          <w:numId w:val="7"/>
        </w:numPr>
        <w:shd w:val="clear" w:color="auto" w:fill="auto"/>
        <w:tabs>
          <w:tab w:val="left" w:pos="1824"/>
        </w:tabs>
        <w:spacing w:after="0" w:line="386" w:lineRule="auto"/>
        <w:ind w:left="1120"/>
      </w:pPr>
      <w:r>
        <w:lastRenderedPageBreak/>
        <w:t xml:space="preserve">причини за забавянето, ако уведомлението не е подадено в срок от </w:t>
      </w:r>
      <w:r>
        <w:t>72 часа</w:t>
      </w:r>
    </w:p>
    <w:p w:rsidR="00FC5136" w:rsidRDefault="001623AE">
      <w:pPr>
        <w:pStyle w:val="a0"/>
        <w:numPr>
          <w:ilvl w:val="0"/>
          <w:numId w:val="7"/>
        </w:numPr>
        <w:shd w:val="clear" w:color="auto" w:fill="auto"/>
        <w:tabs>
          <w:tab w:val="left" w:pos="1824"/>
        </w:tabs>
        <w:spacing w:after="0" w:line="386" w:lineRule="auto"/>
        <w:ind w:left="1120"/>
      </w:pPr>
      <w:r>
        <w:t>описание на естеството на нарушението</w:t>
      </w:r>
    </w:p>
    <w:p w:rsidR="00FC5136" w:rsidRDefault="001623AE">
      <w:pPr>
        <w:pStyle w:val="a0"/>
        <w:numPr>
          <w:ilvl w:val="0"/>
          <w:numId w:val="7"/>
        </w:numPr>
        <w:shd w:val="clear" w:color="auto" w:fill="auto"/>
        <w:tabs>
          <w:tab w:val="left" w:pos="1824"/>
        </w:tabs>
        <w:spacing w:after="0" w:line="386" w:lineRule="auto"/>
        <w:ind w:left="1120"/>
      </w:pPr>
      <w:r>
        <w:t>категории и обем лични данни, които са засегнати</w:t>
      </w:r>
    </w:p>
    <w:p w:rsidR="00FC5136" w:rsidRDefault="001623AE">
      <w:pPr>
        <w:pStyle w:val="a0"/>
        <w:numPr>
          <w:ilvl w:val="0"/>
          <w:numId w:val="7"/>
        </w:numPr>
        <w:shd w:val="clear" w:color="auto" w:fill="auto"/>
        <w:tabs>
          <w:tab w:val="left" w:pos="1844"/>
        </w:tabs>
        <w:spacing w:after="0" w:line="386" w:lineRule="auto"/>
        <w:ind w:left="1840" w:hanging="700"/>
      </w:pPr>
      <w:r>
        <w:t xml:space="preserve">приложени мерки за защита преди настъпване на нарушението (криптиране, </w:t>
      </w:r>
      <w:proofErr w:type="spellStart"/>
      <w:r>
        <w:t>псевдонимизиране</w:t>
      </w:r>
      <w:proofErr w:type="spellEnd"/>
      <w:r>
        <w:t>)</w:t>
      </w:r>
    </w:p>
    <w:p w:rsidR="00FC5136" w:rsidRDefault="001623AE">
      <w:pPr>
        <w:pStyle w:val="a0"/>
        <w:numPr>
          <w:ilvl w:val="0"/>
          <w:numId w:val="7"/>
        </w:numPr>
        <w:shd w:val="clear" w:color="auto" w:fill="auto"/>
        <w:tabs>
          <w:tab w:val="left" w:pos="1824"/>
        </w:tabs>
        <w:spacing w:after="0" w:line="386" w:lineRule="auto"/>
        <w:ind w:left="1120"/>
      </w:pPr>
      <w:r>
        <w:t>приблизителен брой и категории засегнати субекти на данни</w:t>
      </w:r>
    </w:p>
    <w:p w:rsidR="00FC5136" w:rsidRDefault="001623AE">
      <w:pPr>
        <w:pStyle w:val="a0"/>
        <w:numPr>
          <w:ilvl w:val="0"/>
          <w:numId w:val="7"/>
        </w:numPr>
        <w:shd w:val="clear" w:color="auto" w:fill="auto"/>
        <w:tabs>
          <w:tab w:val="left" w:pos="1824"/>
        </w:tabs>
        <w:spacing w:after="0" w:line="386" w:lineRule="auto"/>
        <w:ind w:left="1120"/>
      </w:pPr>
      <w:r>
        <w:t xml:space="preserve">координати за </w:t>
      </w:r>
      <w:r>
        <w:t>връзка с длъжностното лице по защита на данните</w:t>
      </w:r>
    </w:p>
    <w:p w:rsidR="00FC5136" w:rsidRDefault="001623AE">
      <w:pPr>
        <w:pStyle w:val="a0"/>
        <w:numPr>
          <w:ilvl w:val="0"/>
          <w:numId w:val="7"/>
        </w:numPr>
        <w:shd w:val="clear" w:color="auto" w:fill="auto"/>
        <w:tabs>
          <w:tab w:val="left" w:pos="1844"/>
        </w:tabs>
        <w:spacing w:after="0" w:line="386" w:lineRule="auto"/>
        <w:ind w:left="1840" w:hanging="700"/>
      </w:pPr>
      <w:r>
        <w:t>евентуални последици от нарушението на сигурността на личните данни - потенциално въздействие върху субектите на лични данни и неговата тежест</w:t>
      </w:r>
    </w:p>
    <w:p w:rsidR="00FC5136" w:rsidRDefault="001623AE">
      <w:pPr>
        <w:pStyle w:val="a0"/>
        <w:numPr>
          <w:ilvl w:val="0"/>
          <w:numId w:val="7"/>
        </w:numPr>
        <w:shd w:val="clear" w:color="auto" w:fill="auto"/>
        <w:tabs>
          <w:tab w:val="left" w:pos="1939"/>
        </w:tabs>
        <w:spacing w:after="0" w:line="386" w:lineRule="auto"/>
        <w:ind w:left="1120"/>
      </w:pPr>
      <w:r>
        <w:t>предприети мерки за справяне с нарушението</w:t>
      </w:r>
    </w:p>
    <w:p w:rsidR="00FC5136" w:rsidRDefault="001623AE">
      <w:pPr>
        <w:pStyle w:val="a0"/>
        <w:numPr>
          <w:ilvl w:val="0"/>
          <w:numId w:val="7"/>
        </w:numPr>
        <w:shd w:val="clear" w:color="auto" w:fill="auto"/>
        <w:tabs>
          <w:tab w:val="left" w:pos="1939"/>
        </w:tabs>
        <w:spacing w:after="0" w:line="386" w:lineRule="auto"/>
        <w:ind w:left="1120"/>
      </w:pPr>
      <w:r>
        <w:t xml:space="preserve">приложимо/изпратено </w:t>
      </w:r>
      <w:r>
        <w:t>уведомление до засегнатите субекти на данни</w:t>
      </w:r>
    </w:p>
    <w:p w:rsidR="00FC5136" w:rsidRDefault="001623AE">
      <w:pPr>
        <w:pStyle w:val="a0"/>
        <w:numPr>
          <w:ilvl w:val="0"/>
          <w:numId w:val="7"/>
        </w:numPr>
        <w:shd w:val="clear" w:color="auto" w:fill="auto"/>
        <w:tabs>
          <w:tab w:val="left" w:pos="1959"/>
        </w:tabs>
        <w:spacing w:after="200" w:line="386" w:lineRule="auto"/>
        <w:ind w:left="1840" w:hanging="700"/>
      </w:pPr>
      <w:r>
        <w:t>приложимо/изпратено уведомление до други администратори на лични данни и/или надзорни органи</w:t>
      </w:r>
    </w:p>
    <w:p w:rsidR="00FC5136" w:rsidRDefault="001623AE">
      <w:pPr>
        <w:pStyle w:val="a0"/>
        <w:numPr>
          <w:ilvl w:val="0"/>
          <w:numId w:val="2"/>
        </w:numPr>
        <w:shd w:val="clear" w:color="auto" w:fill="auto"/>
        <w:tabs>
          <w:tab w:val="left" w:pos="349"/>
        </w:tabs>
        <w:spacing w:after="120" w:line="257" w:lineRule="auto"/>
        <w:ind w:left="400" w:hanging="400"/>
      </w:pPr>
      <w:r>
        <w:t xml:space="preserve">Когато е приложимо, община Благоевград уведомява субектите на лични данни чрез писмо/имейл/публично съобщение или друг </w:t>
      </w:r>
      <w:r>
        <w:t>способ за ефективно информиране, без ненужно забавяне, на ясен и прост език относно следното:</w:t>
      </w:r>
    </w:p>
    <w:p w:rsidR="00FC5136" w:rsidRDefault="001623AE">
      <w:pPr>
        <w:pStyle w:val="a0"/>
        <w:numPr>
          <w:ilvl w:val="1"/>
          <w:numId w:val="2"/>
        </w:numPr>
        <w:shd w:val="clear" w:color="auto" w:fill="auto"/>
        <w:tabs>
          <w:tab w:val="left" w:pos="1822"/>
        </w:tabs>
        <w:spacing w:after="0" w:line="322" w:lineRule="auto"/>
        <w:ind w:left="1120"/>
      </w:pPr>
      <w:r>
        <w:t>естеството на нарушението на сигурността на личните данни</w:t>
      </w:r>
    </w:p>
    <w:p w:rsidR="00FC5136" w:rsidRDefault="001623AE">
      <w:pPr>
        <w:pStyle w:val="a0"/>
        <w:numPr>
          <w:ilvl w:val="1"/>
          <w:numId w:val="2"/>
        </w:numPr>
        <w:shd w:val="clear" w:color="auto" w:fill="auto"/>
        <w:tabs>
          <w:tab w:val="left" w:pos="1822"/>
        </w:tabs>
        <w:spacing w:after="120" w:line="254" w:lineRule="auto"/>
        <w:ind w:left="1460" w:hanging="320"/>
      </w:pPr>
      <w:r>
        <w:t xml:space="preserve">име и координати на длъжностно лице по защита на данните или друга точка за контакт, от която субектите </w:t>
      </w:r>
      <w:r>
        <w:t>могат да получат повече информация</w:t>
      </w:r>
    </w:p>
    <w:p w:rsidR="00FC5136" w:rsidRDefault="001623AE">
      <w:pPr>
        <w:pStyle w:val="a0"/>
        <w:numPr>
          <w:ilvl w:val="1"/>
          <w:numId w:val="2"/>
        </w:numPr>
        <w:shd w:val="clear" w:color="auto" w:fill="auto"/>
        <w:tabs>
          <w:tab w:val="left" w:pos="1822"/>
        </w:tabs>
        <w:spacing w:after="120" w:line="254" w:lineRule="auto"/>
        <w:ind w:left="1460" w:hanging="320"/>
      </w:pPr>
      <w:r>
        <w:t>описание на евентуалните последици от нарушението на сигурността на личните данни</w:t>
      </w:r>
    </w:p>
    <w:p w:rsidR="00FC5136" w:rsidRDefault="001623AE">
      <w:pPr>
        <w:pStyle w:val="a0"/>
        <w:numPr>
          <w:ilvl w:val="1"/>
          <w:numId w:val="2"/>
        </w:numPr>
        <w:shd w:val="clear" w:color="auto" w:fill="auto"/>
        <w:tabs>
          <w:tab w:val="left" w:pos="1822"/>
        </w:tabs>
        <w:spacing w:after="120" w:line="257" w:lineRule="auto"/>
        <w:ind w:left="1460" w:hanging="320"/>
      </w:pPr>
      <w:r>
        <w:t xml:space="preserve">описание на предприетите или предложени от община Благоевград мерки за справяне с нарушението на сигурността на личните данни, включително </w:t>
      </w:r>
      <w:r>
        <w:t>по целесъобразност мерки за намаляване на евентуалните неблагоприятни последици</w:t>
      </w:r>
    </w:p>
    <w:p w:rsidR="00FC5136" w:rsidRDefault="001623AE">
      <w:pPr>
        <w:pStyle w:val="a0"/>
        <w:numPr>
          <w:ilvl w:val="1"/>
          <w:numId w:val="2"/>
        </w:numPr>
        <w:shd w:val="clear" w:color="auto" w:fill="auto"/>
        <w:tabs>
          <w:tab w:val="left" w:pos="1822"/>
        </w:tabs>
        <w:spacing w:after="520" w:line="252" w:lineRule="auto"/>
        <w:ind w:left="1460" w:hanging="320"/>
      </w:pPr>
      <w:r>
        <w:t>действия, които самите субекти могат да предприемат, за да намалят рисковете и/или негативните последици</w:t>
      </w:r>
    </w:p>
    <w:p w:rsidR="00FC5136" w:rsidRDefault="001623AE">
      <w:pPr>
        <w:pStyle w:val="a0"/>
        <w:numPr>
          <w:ilvl w:val="0"/>
          <w:numId w:val="2"/>
        </w:numPr>
        <w:shd w:val="clear" w:color="auto" w:fill="auto"/>
        <w:tabs>
          <w:tab w:val="left" w:pos="349"/>
        </w:tabs>
        <w:spacing w:after="120" w:line="240" w:lineRule="auto"/>
        <w:ind w:left="400" w:hanging="400"/>
      </w:pPr>
      <w:r>
        <w:t>Когато е приложимо, община Благоевград, в ролята си на обработващ лични</w:t>
      </w:r>
      <w:r>
        <w:t xml:space="preserve"> данни, уведомява съответния администратор/и за следното:</w:t>
      </w:r>
    </w:p>
    <w:p w:rsidR="00FC5136" w:rsidRDefault="001623AE">
      <w:pPr>
        <w:pStyle w:val="a0"/>
        <w:numPr>
          <w:ilvl w:val="1"/>
          <w:numId w:val="2"/>
        </w:numPr>
        <w:shd w:val="clear" w:color="auto" w:fill="auto"/>
        <w:tabs>
          <w:tab w:val="left" w:pos="1822"/>
        </w:tabs>
        <w:spacing w:after="0" w:line="322" w:lineRule="auto"/>
        <w:ind w:left="1080"/>
      </w:pPr>
      <w:r>
        <w:t>дата и час на настъпване на нарушението (или узнаване за нарушението)</w:t>
      </w:r>
    </w:p>
    <w:p w:rsidR="00FC5136" w:rsidRDefault="001623AE">
      <w:pPr>
        <w:pStyle w:val="a0"/>
        <w:numPr>
          <w:ilvl w:val="1"/>
          <w:numId w:val="2"/>
        </w:numPr>
        <w:shd w:val="clear" w:color="auto" w:fill="auto"/>
        <w:tabs>
          <w:tab w:val="left" w:pos="1822"/>
        </w:tabs>
        <w:spacing w:after="60" w:line="322" w:lineRule="auto"/>
        <w:ind w:left="1080"/>
        <w:sectPr w:rsidR="00FC5136">
          <w:footerReference w:type="even" r:id="rId14"/>
          <w:footerReference w:type="default" r:id="rId15"/>
          <w:pgSz w:w="11900" w:h="16840"/>
          <w:pgMar w:top="3202" w:right="548" w:bottom="1788" w:left="657" w:header="2774" w:footer="1360" w:gutter="0"/>
          <w:cols w:space="720"/>
          <w:noEndnote/>
          <w:docGrid w:linePitch="360"/>
        </w:sectPr>
      </w:pPr>
      <w:r>
        <w:t>естество на нарушението</w:t>
      </w:r>
    </w:p>
    <w:p w:rsidR="00FC5136" w:rsidRDefault="001623AE">
      <w:pPr>
        <w:pStyle w:val="a0"/>
        <w:numPr>
          <w:ilvl w:val="1"/>
          <w:numId w:val="2"/>
        </w:numPr>
        <w:shd w:val="clear" w:color="auto" w:fill="auto"/>
        <w:tabs>
          <w:tab w:val="left" w:pos="2098"/>
        </w:tabs>
        <w:spacing w:line="257" w:lineRule="auto"/>
        <w:ind w:left="1400"/>
      </w:pPr>
      <w:r>
        <w:lastRenderedPageBreak/>
        <w:t>засегнати видове данни и техния обем</w:t>
      </w:r>
    </w:p>
    <w:p w:rsidR="00FC5136" w:rsidRDefault="001623AE">
      <w:pPr>
        <w:pStyle w:val="a0"/>
        <w:numPr>
          <w:ilvl w:val="1"/>
          <w:numId w:val="2"/>
        </w:numPr>
        <w:shd w:val="clear" w:color="auto" w:fill="auto"/>
        <w:tabs>
          <w:tab w:val="left" w:pos="2098"/>
        </w:tabs>
        <w:spacing w:line="257" w:lineRule="auto"/>
        <w:ind w:left="1400"/>
      </w:pPr>
      <w:r>
        <w:t>брой и категории засегнати субекти на данн</w:t>
      </w:r>
      <w:r>
        <w:t>и</w:t>
      </w:r>
    </w:p>
    <w:p w:rsidR="00FC5136" w:rsidRDefault="001623AE">
      <w:pPr>
        <w:pStyle w:val="a0"/>
        <w:numPr>
          <w:ilvl w:val="1"/>
          <w:numId w:val="2"/>
        </w:numPr>
        <w:shd w:val="clear" w:color="auto" w:fill="auto"/>
        <w:tabs>
          <w:tab w:val="left" w:pos="2098"/>
        </w:tabs>
        <w:ind w:left="1760" w:hanging="360"/>
      </w:pPr>
      <w:r>
        <w:t xml:space="preserve">приложени мерки за защита преди настъпване на нарушението (криптиране, </w:t>
      </w:r>
      <w:proofErr w:type="spellStart"/>
      <w:r>
        <w:t>псевдонимизиране</w:t>
      </w:r>
      <w:proofErr w:type="spellEnd"/>
      <w:r>
        <w:t>)</w:t>
      </w:r>
    </w:p>
    <w:p w:rsidR="00FC5136" w:rsidRDefault="001623AE">
      <w:pPr>
        <w:pStyle w:val="a0"/>
        <w:numPr>
          <w:ilvl w:val="1"/>
          <w:numId w:val="2"/>
        </w:numPr>
        <w:shd w:val="clear" w:color="auto" w:fill="auto"/>
        <w:tabs>
          <w:tab w:val="left" w:pos="2098"/>
        </w:tabs>
        <w:spacing w:line="257" w:lineRule="auto"/>
        <w:ind w:left="1400"/>
      </w:pPr>
      <w:r>
        <w:t>предприети технически и организационни мерки за справяне с нарушението</w:t>
      </w:r>
    </w:p>
    <w:p w:rsidR="00FC5136" w:rsidRDefault="001623AE">
      <w:pPr>
        <w:pStyle w:val="a0"/>
        <w:numPr>
          <w:ilvl w:val="1"/>
          <w:numId w:val="2"/>
        </w:numPr>
        <w:shd w:val="clear" w:color="auto" w:fill="auto"/>
        <w:tabs>
          <w:tab w:val="left" w:pos="2098"/>
        </w:tabs>
        <w:spacing w:line="257" w:lineRule="auto"/>
        <w:ind w:left="1400"/>
      </w:pPr>
      <w:r>
        <w:t>лице за контакт по отношение на нарушението</w:t>
      </w:r>
    </w:p>
    <w:p w:rsidR="00FC5136" w:rsidRDefault="001623AE">
      <w:pPr>
        <w:pStyle w:val="a0"/>
        <w:numPr>
          <w:ilvl w:val="1"/>
          <w:numId w:val="2"/>
        </w:numPr>
        <w:shd w:val="clear" w:color="auto" w:fill="auto"/>
        <w:tabs>
          <w:tab w:val="left" w:pos="2098"/>
        </w:tabs>
        <w:spacing w:after="240" w:line="257" w:lineRule="auto"/>
        <w:ind w:left="1400"/>
      </w:pPr>
      <w:r>
        <w:t xml:space="preserve">други фактори, които имат отношение към </w:t>
      </w:r>
      <w:r>
        <w:t>събитието/инцидента</w:t>
      </w:r>
    </w:p>
    <w:p w:rsidR="00FC5136" w:rsidRDefault="001623AE">
      <w:pPr>
        <w:pStyle w:val="a0"/>
        <w:shd w:val="clear" w:color="auto" w:fill="auto"/>
        <w:spacing w:line="254" w:lineRule="auto"/>
      </w:pPr>
      <w:r>
        <w:t xml:space="preserve">Настоящата процедура влиза в сила от деня на нейното утвърждаване и отменя действащата към момента </w:t>
      </w:r>
      <w:r>
        <w:rPr>
          <w:i/>
          <w:iCs/>
        </w:rPr>
        <w:t>Процедура за действие при нарушаване на сигурността на личните данни от 20.12.2018г.</w:t>
      </w:r>
    </w:p>
    <w:p w:rsidR="00FC5136" w:rsidRDefault="001623AE">
      <w:pPr>
        <w:pStyle w:val="a0"/>
        <w:shd w:val="clear" w:color="auto" w:fill="auto"/>
        <w:spacing w:line="257" w:lineRule="auto"/>
      </w:pPr>
      <w:r>
        <w:t>Процедурата се преглежда веднъж на две години или по</w:t>
      </w:r>
      <w:r>
        <w:t>-често, при необходимост.</w:t>
      </w:r>
    </w:p>
    <w:sectPr w:rsidR="00FC5136">
      <w:footerReference w:type="even" r:id="rId16"/>
      <w:footerReference w:type="default" r:id="rId17"/>
      <w:pgSz w:w="11900" w:h="16840"/>
      <w:pgMar w:top="3202" w:right="548" w:bottom="1788" w:left="657" w:header="27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3AE" w:rsidRDefault="001623AE">
      <w:r>
        <w:separator/>
      </w:r>
    </w:p>
  </w:endnote>
  <w:endnote w:type="continuationSeparator" w:id="0">
    <w:p w:rsidR="001623AE" w:rsidRDefault="0016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36" w:rsidRDefault="001623AE">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7066915</wp:posOffset>
              </wp:positionH>
              <wp:positionV relativeFrom="page">
                <wp:posOffset>9621520</wp:posOffset>
              </wp:positionV>
              <wp:extent cx="5461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FC5136" w:rsidRDefault="001623AE">
                          <w:pPr>
                            <w:pStyle w:val="22"/>
                            <w:shd w:val="clear" w:color="auto" w:fill="auto"/>
                          </w:pPr>
                          <w:r>
                            <w:rPr>
                              <w:color w:val="272627"/>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56.45pt;margin-top:757.6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" filled="f" stroked="f">
              <v:textbox style="mso-fit-shape-to-text:t" inset="0,0,0,0">
                <w:txbxContent>
                  <w:p w:rsidR="00FC5136" w:rsidRDefault="001623AE">
                    <w:pPr>
                      <w:pStyle w:val="22"/>
                      <w:shd w:val="clear" w:color="auto" w:fill="auto"/>
                    </w:pPr>
                    <w:r>
                      <w:rPr>
                        <w:color w:val="272627"/>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36" w:rsidRDefault="00FC513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36" w:rsidRDefault="00FC51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36" w:rsidRDefault="00FC51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36" w:rsidRDefault="001623AE">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7133590</wp:posOffset>
              </wp:positionH>
              <wp:positionV relativeFrom="page">
                <wp:posOffset>9621520</wp:posOffset>
              </wp:positionV>
              <wp:extent cx="52070" cy="85090"/>
              <wp:effectExtent l="0" t="0" r="0" b="0"/>
              <wp:wrapNone/>
              <wp:docPr id="9" name="Shape 9"/>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rsidR="00FC5136" w:rsidRDefault="001623AE">
                          <w:pPr>
                            <w:pStyle w:val="22"/>
                            <w:shd w:val="clear" w:color="auto" w:fill="auto"/>
                          </w:pPr>
                          <w:r>
                            <w:rPr>
                              <w:color w:val="272627"/>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61.7pt;margin-top:757.6pt;width:4.1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" filled="f" stroked="f">
              <v:textbox style="mso-fit-shape-to-text:t" inset="0,0,0,0">
                <w:txbxContent>
                  <w:p w:rsidR="00FC5136" w:rsidRDefault="001623AE">
                    <w:pPr>
                      <w:pStyle w:val="22"/>
                      <w:shd w:val="clear" w:color="auto" w:fill="auto"/>
                    </w:pPr>
                    <w:r>
                      <w:rPr>
                        <w:color w:val="272627"/>
                      </w:rPr>
                      <w:t>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136" w:rsidRDefault="001623AE">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7133590</wp:posOffset>
              </wp:positionH>
              <wp:positionV relativeFrom="page">
                <wp:posOffset>9621520</wp:posOffset>
              </wp:positionV>
              <wp:extent cx="52070"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rsidR="00FC5136" w:rsidRDefault="001623AE">
                          <w:pPr>
                            <w:pStyle w:val="22"/>
                            <w:shd w:val="clear" w:color="auto" w:fill="auto"/>
                          </w:pPr>
                          <w:r>
                            <w:rPr>
                              <w:color w:val="272627"/>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561.7pt;margin-top:757.6pt;width:4.1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" filled="f" stroked="f">
              <v:textbox style="mso-fit-shape-to-text:t" inset="0,0,0,0">
                <w:txbxContent>
                  <w:p w:rsidR="00FC5136" w:rsidRDefault="001623AE">
                    <w:pPr>
                      <w:pStyle w:val="22"/>
                      <w:shd w:val="clear" w:color="auto" w:fill="auto"/>
                    </w:pPr>
                    <w:r>
                      <w:rPr>
                        <w:color w:val="272627"/>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3AE" w:rsidRDefault="001623AE"/>
  </w:footnote>
  <w:footnote w:type="continuationSeparator" w:id="0">
    <w:p w:rsidR="001623AE" w:rsidRDefault="001623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6DBC"/>
    <w:multiLevelType w:val="multilevel"/>
    <w:tmpl w:val="43E65C8E"/>
    <w:lvl w:ilvl="0">
      <w:start w:val="1"/>
      <w:numFmt w:val="decimal"/>
      <w:lvlText w:val="4.3.%1."/>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E47F8"/>
    <w:multiLevelType w:val="multilevel"/>
    <w:tmpl w:val="83747C1E"/>
    <w:lvl w:ilvl="0">
      <w:start w:val="2"/>
      <w:numFmt w:val="decimal"/>
      <w:lvlText w:val="2.%1"/>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3744B8"/>
    <w:multiLevelType w:val="multilevel"/>
    <w:tmpl w:val="09E8826C"/>
    <w:lvl w:ilvl="0">
      <w:start w:val="1"/>
      <w:numFmt w:val="bullet"/>
      <w:lvlText w:val="&gt;"/>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0F26C0"/>
    <w:multiLevelType w:val="multilevel"/>
    <w:tmpl w:val="91E0CF02"/>
    <w:lvl w:ilvl="0">
      <w:start w:val="1"/>
      <w:numFmt w:val="decimal"/>
      <w:lvlText w:val="2.3.%1"/>
      <w:lvlJc w:val="left"/>
      <w:rPr>
        <w:rFonts w:ascii="Times New Roman" w:eastAsia="Times New Roman" w:hAnsi="Times New Roman" w:cs="Times New Roman"/>
        <w:b/>
        <w:bCs/>
        <w:i w:val="0"/>
        <w:iCs w:val="0"/>
        <w:smallCaps w:val="0"/>
        <w:strike w:val="0"/>
        <w:color w:val="272627"/>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924F5F"/>
    <w:multiLevelType w:val="multilevel"/>
    <w:tmpl w:val="72F6AF16"/>
    <w:lvl w:ilvl="0">
      <w:start w:val="1"/>
      <w:numFmt w:val="decimal"/>
      <w:lvlText w:val="2.2.3.%1"/>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066ED4"/>
    <w:multiLevelType w:val="multilevel"/>
    <w:tmpl w:val="0D62BAC2"/>
    <w:lvl w:ilvl="0">
      <w:start w:val="1"/>
      <w:numFmt w:val="decimal"/>
      <w:lvlText w:val="%1."/>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2">
      <w:start w:val="1"/>
      <w:numFmt w:val="decimal"/>
      <w:lvlText w:val="%1.%2.%3"/>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5837D1"/>
    <w:multiLevelType w:val="multilevel"/>
    <w:tmpl w:val="3CB67BAA"/>
    <w:lvl w:ilvl="0">
      <w:start w:val="1"/>
      <w:numFmt w:val="decimal"/>
      <w:lvlText w:val="2.2.%1"/>
      <w:lvlJc w:val="left"/>
      <w:rPr>
        <w:rFonts w:ascii="Times New Roman" w:eastAsia="Times New Roman" w:hAnsi="Times New Roman" w:cs="Times New Roman"/>
        <w:b w:val="0"/>
        <w:bCs w:val="0"/>
        <w:i w:val="0"/>
        <w:iCs w:val="0"/>
        <w:smallCaps w:val="0"/>
        <w:strike w:val="0"/>
        <w:color w:val="272627"/>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36"/>
    <w:rsid w:val="000E4B82"/>
    <w:rsid w:val="001623AE"/>
    <w:rsid w:val="00AF3720"/>
    <w:rsid w:val="00FC51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77211-2ED6-40E4-8144-BFBB33F5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лавие #1_"/>
    <w:basedOn w:val="DefaultParagraphFont"/>
    <w:link w:val="10"/>
    <w:rPr>
      <w:rFonts w:ascii="Times New Roman" w:eastAsia="Times New Roman" w:hAnsi="Times New Roman" w:cs="Times New Roman"/>
      <w:b w:val="0"/>
      <w:bCs w:val="0"/>
      <w:i w:val="0"/>
      <w:iCs w:val="0"/>
      <w:smallCaps w:val="0"/>
      <w:strike w:val="0"/>
      <w:sz w:val="50"/>
      <w:szCs w:val="50"/>
      <w:u w:val="none"/>
    </w:rPr>
  </w:style>
  <w:style w:type="character" w:customStyle="1" w:styleId="3">
    <w:name w:val="Основен текст (3)_"/>
    <w:basedOn w:val="DefaultParagraphFont"/>
    <w:link w:val="30"/>
    <w:rPr>
      <w:rFonts w:ascii="Trebuchet MS" w:eastAsia="Trebuchet MS" w:hAnsi="Trebuchet MS" w:cs="Trebuchet MS"/>
      <w:b/>
      <w:bCs/>
      <w:i w:val="0"/>
      <w:iCs w:val="0"/>
      <w:smallCaps w:val="0"/>
      <w:strike w:val="0"/>
      <w:color w:val="272627"/>
      <w:sz w:val="20"/>
      <w:szCs w:val="20"/>
      <w:u w:val="none"/>
    </w:rPr>
  </w:style>
  <w:style w:type="character" w:customStyle="1" w:styleId="4">
    <w:name w:val="Основен текст (4)_"/>
    <w:basedOn w:val="DefaultParagraphFont"/>
    <w:link w:val="40"/>
    <w:rPr>
      <w:rFonts w:ascii="Calibri" w:eastAsia="Calibri" w:hAnsi="Calibri" w:cs="Calibri"/>
      <w:b/>
      <w:bCs/>
      <w:i w:val="0"/>
      <w:iCs w:val="0"/>
      <w:smallCaps w:val="0"/>
      <w:strike w:val="0"/>
      <w:color w:val="272627"/>
      <w:sz w:val="26"/>
      <w:szCs w:val="26"/>
      <w:u w:val="none"/>
    </w:rPr>
  </w:style>
  <w:style w:type="character" w:customStyle="1" w:styleId="a">
    <w:name w:val="Основен текст_"/>
    <w:basedOn w:val="DefaultParagraphFont"/>
    <w:link w:val="a0"/>
    <w:rPr>
      <w:rFonts w:ascii="Times New Roman" w:eastAsia="Times New Roman" w:hAnsi="Times New Roman" w:cs="Times New Roman"/>
      <w:b w:val="0"/>
      <w:bCs w:val="0"/>
      <w:i w:val="0"/>
      <w:iCs w:val="0"/>
      <w:smallCaps w:val="0"/>
      <w:strike w:val="0"/>
      <w:color w:val="272627"/>
      <w:sz w:val="22"/>
      <w:szCs w:val="22"/>
      <w:u w:val="none"/>
    </w:rPr>
  </w:style>
  <w:style w:type="character" w:customStyle="1" w:styleId="2">
    <w:name w:val="Основен текст (2)_"/>
    <w:basedOn w:val="DefaultParagraphFont"/>
    <w:link w:val="20"/>
    <w:rPr>
      <w:rFonts w:ascii="Trebuchet MS" w:eastAsia="Trebuchet MS" w:hAnsi="Trebuchet MS" w:cs="Trebuchet MS"/>
      <w:b/>
      <w:bCs/>
      <w:i w:val="0"/>
      <w:iCs w:val="0"/>
      <w:smallCaps w:val="0"/>
      <w:strike w:val="0"/>
      <w:color w:val="272627"/>
      <w:sz w:val="26"/>
      <w:szCs w:val="26"/>
      <w:u w:val="none"/>
    </w:rPr>
  </w:style>
  <w:style w:type="character" w:customStyle="1" w:styleId="a1">
    <w:name w:val="Други_"/>
    <w:basedOn w:val="DefaultParagraphFont"/>
    <w:link w:val="a2"/>
    <w:rPr>
      <w:rFonts w:ascii="Times New Roman" w:eastAsia="Times New Roman" w:hAnsi="Times New Roman" w:cs="Times New Roman"/>
      <w:b w:val="0"/>
      <w:bCs w:val="0"/>
      <w:i w:val="0"/>
      <w:iCs w:val="0"/>
      <w:smallCaps w:val="0"/>
      <w:strike w:val="0"/>
      <w:color w:val="272627"/>
      <w:sz w:val="22"/>
      <w:szCs w:val="22"/>
      <w:u w:val="none"/>
    </w:rPr>
  </w:style>
  <w:style w:type="character" w:customStyle="1" w:styleId="21">
    <w:name w:val="Горен или долен 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лавие #2_"/>
    <w:basedOn w:val="DefaultParagraphFont"/>
    <w:link w:val="24"/>
    <w:rPr>
      <w:rFonts w:ascii="Times New Roman" w:eastAsia="Times New Roman" w:hAnsi="Times New Roman" w:cs="Times New Roman"/>
      <w:b w:val="0"/>
      <w:bCs w:val="0"/>
      <w:i w:val="0"/>
      <w:iCs w:val="0"/>
      <w:smallCaps w:val="0"/>
      <w:strike w:val="0"/>
      <w:color w:val="272627"/>
      <w:sz w:val="26"/>
      <w:szCs w:val="26"/>
      <w:u w:val="none"/>
    </w:rPr>
  </w:style>
  <w:style w:type="paragraph" w:customStyle="1" w:styleId="10">
    <w:name w:val="Заглавие #1"/>
    <w:basedOn w:val="Normal"/>
    <w:link w:val="1"/>
    <w:pPr>
      <w:shd w:val="clear" w:color="auto" w:fill="FFFFFF"/>
      <w:spacing w:after="1620"/>
      <w:jc w:val="center"/>
      <w:outlineLvl w:val="0"/>
    </w:pPr>
    <w:rPr>
      <w:rFonts w:ascii="Times New Roman" w:eastAsia="Times New Roman" w:hAnsi="Times New Roman" w:cs="Times New Roman"/>
      <w:sz w:val="50"/>
      <w:szCs w:val="50"/>
    </w:rPr>
  </w:style>
  <w:style w:type="paragraph" w:customStyle="1" w:styleId="30">
    <w:name w:val="Основен текст (3)"/>
    <w:basedOn w:val="Normal"/>
    <w:link w:val="3"/>
    <w:pPr>
      <w:shd w:val="clear" w:color="auto" w:fill="FFFFFF"/>
      <w:spacing w:after="300"/>
    </w:pPr>
    <w:rPr>
      <w:rFonts w:ascii="Trebuchet MS" w:eastAsia="Trebuchet MS" w:hAnsi="Trebuchet MS" w:cs="Trebuchet MS"/>
      <w:b/>
      <w:bCs/>
      <w:color w:val="272627"/>
      <w:sz w:val="20"/>
      <w:szCs w:val="20"/>
    </w:rPr>
  </w:style>
  <w:style w:type="paragraph" w:customStyle="1" w:styleId="40">
    <w:name w:val="Основен текст (4)"/>
    <w:basedOn w:val="Normal"/>
    <w:link w:val="4"/>
    <w:pPr>
      <w:shd w:val="clear" w:color="auto" w:fill="FFFFFF"/>
      <w:spacing w:after="60"/>
    </w:pPr>
    <w:rPr>
      <w:rFonts w:ascii="Calibri" w:eastAsia="Calibri" w:hAnsi="Calibri" w:cs="Calibri"/>
      <w:b/>
      <w:bCs/>
      <w:color w:val="272627"/>
      <w:sz w:val="26"/>
      <w:szCs w:val="26"/>
    </w:rPr>
  </w:style>
  <w:style w:type="paragraph" w:customStyle="1" w:styleId="a0">
    <w:name w:val="Основен текст"/>
    <w:basedOn w:val="Normal"/>
    <w:link w:val="a"/>
    <w:pPr>
      <w:shd w:val="clear" w:color="auto" w:fill="FFFFFF"/>
      <w:spacing w:after="100" w:line="259" w:lineRule="auto"/>
    </w:pPr>
    <w:rPr>
      <w:rFonts w:ascii="Times New Roman" w:eastAsia="Times New Roman" w:hAnsi="Times New Roman" w:cs="Times New Roman"/>
      <w:color w:val="272627"/>
      <w:sz w:val="22"/>
      <w:szCs w:val="22"/>
    </w:rPr>
  </w:style>
  <w:style w:type="paragraph" w:customStyle="1" w:styleId="20">
    <w:name w:val="Основен текст (2)"/>
    <w:basedOn w:val="Normal"/>
    <w:link w:val="2"/>
    <w:pPr>
      <w:shd w:val="clear" w:color="auto" w:fill="FFFFFF"/>
      <w:spacing w:after="300"/>
      <w:jc w:val="center"/>
    </w:pPr>
    <w:rPr>
      <w:rFonts w:ascii="Trebuchet MS" w:eastAsia="Trebuchet MS" w:hAnsi="Trebuchet MS" w:cs="Trebuchet MS"/>
      <w:b/>
      <w:bCs/>
      <w:color w:val="272627"/>
      <w:sz w:val="26"/>
      <w:szCs w:val="26"/>
    </w:rPr>
  </w:style>
  <w:style w:type="paragraph" w:customStyle="1" w:styleId="a2">
    <w:name w:val="Други"/>
    <w:basedOn w:val="Normal"/>
    <w:link w:val="a1"/>
    <w:pPr>
      <w:shd w:val="clear" w:color="auto" w:fill="FFFFFF"/>
      <w:spacing w:after="100" w:line="259" w:lineRule="auto"/>
    </w:pPr>
    <w:rPr>
      <w:rFonts w:ascii="Times New Roman" w:eastAsia="Times New Roman" w:hAnsi="Times New Roman" w:cs="Times New Roman"/>
      <w:color w:val="272627"/>
      <w:sz w:val="22"/>
      <w:szCs w:val="22"/>
    </w:rPr>
  </w:style>
  <w:style w:type="paragraph" w:customStyle="1" w:styleId="22">
    <w:name w:val="Горен или долен колонтитул (2)"/>
    <w:basedOn w:val="Normal"/>
    <w:link w:val="21"/>
    <w:pPr>
      <w:shd w:val="clear" w:color="auto" w:fill="FFFFFF"/>
    </w:pPr>
    <w:rPr>
      <w:rFonts w:ascii="Times New Roman" w:eastAsia="Times New Roman" w:hAnsi="Times New Roman" w:cs="Times New Roman"/>
      <w:sz w:val="20"/>
      <w:szCs w:val="20"/>
    </w:rPr>
  </w:style>
  <w:style w:type="paragraph" w:customStyle="1" w:styleId="24">
    <w:name w:val="Заглавие #2"/>
    <w:basedOn w:val="Normal"/>
    <w:link w:val="23"/>
    <w:pPr>
      <w:shd w:val="clear" w:color="auto" w:fill="FFFFFF"/>
      <w:spacing w:after="340"/>
      <w:outlineLvl w:val="1"/>
    </w:pPr>
    <w:rPr>
      <w:rFonts w:ascii="Times New Roman" w:eastAsia="Times New Roman" w:hAnsi="Times New Roman" w:cs="Times New Roman"/>
      <w:color w:val="272627"/>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pdp.b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zld@cpdo.ba"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dp.bg"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kzld@cpdo.b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Tsonev</dc:creator>
  <cp:lastModifiedBy>Admin Tsonev</cp:lastModifiedBy>
  <cp:revision>1</cp:revision>
  <dcterms:created xsi:type="dcterms:W3CDTF">2024-11-14T07:31:00Z</dcterms:created>
  <dcterms:modified xsi:type="dcterms:W3CDTF">2024-11-14T08:05:00Z</dcterms:modified>
</cp:coreProperties>
</file>